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41B" w14:textId="77777777" w:rsidR="00E6365C" w:rsidRPr="00D80444" w:rsidRDefault="004F1201" w:rsidP="00272214">
      <w:r w:rsidRPr="00D80444">
        <w:rPr>
          <w:noProof/>
          <w:highlight w:val="darkGreen"/>
        </w:rPr>
        <w:drawing>
          <wp:inline distT="0" distB="0" distL="0" distR="0" wp14:anchorId="431286A6" wp14:editId="17501316">
            <wp:extent cx="6057900" cy="3200400"/>
            <wp:effectExtent l="0" t="0" r="0" b="0"/>
            <wp:docPr id="2" name="Picture 2" descr="Kentucky CHF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r="790"/>
                    <a:stretch/>
                  </pic:blipFill>
                  <pic:spPr bwMode="auto">
                    <a:xfrm>
                      <a:off x="0" y="0"/>
                      <a:ext cx="6057900" cy="3200400"/>
                    </a:xfrm>
                    <a:prstGeom prst="rect">
                      <a:avLst/>
                    </a:prstGeom>
                    <a:noFill/>
                    <a:ln>
                      <a:noFill/>
                    </a:ln>
                    <a:extLst>
                      <a:ext uri="{53640926-AAD7-44D8-BBD7-CCE9431645EC}">
                        <a14:shadowObscured xmlns:a14="http://schemas.microsoft.com/office/drawing/2010/main"/>
                      </a:ext>
                    </a:extLst>
                  </pic:spPr>
                </pic:pic>
              </a:graphicData>
            </a:graphic>
          </wp:inline>
        </w:drawing>
      </w:r>
    </w:p>
    <w:p w14:paraId="1A7B8DF6" w14:textId="77777777" w:rsidR="00E6365C" w:rsidRPr="004F1201" w:rsidRDefault="00E6365C" w:rsidP="004F1201">
      <w:pPr>
        <w:pStyle w:val="BodyText"/>
        <w:spacing w:before="960" w:after="840"/>
        <w:ind w:left="835" w:hanging="835"/>
        <w:jc w:val="center"/>
        <w:rPr>
          <w:b/>
          <w:color w:val="62B5E5"/>
          <w:sz w:val="72"/>
          <w:szCs w:val="72"/>
          <w:u w:color="000000"/>
        </w:rPr>
      </w:pPr>
      <w:r w:rsidRPr="004F1201">
        <w:rPr>
          <w:b/>
          <w:color w:val="62B5E5"/>
          <w:sz w:val="72"/>
          <w:szCs w:val="72"/>
          <w:u w:color="000000"/>
        </w:rPr>
        <w:t xml:space="preserve">Kentucky Department </w:t>
      </w:r>
      <w:r w:rsidR="00273E59" w:rsidRPr="004F1201">
        <w:rPr>
          <w:b/>
          <w:color w:val="62B5E5"/>
          <w:sz w:val="72"/>
          <w:szCs w:val="72"/>
          <w:u w:color="000000"/>
        </w:rPr>
        <w:t>for</w:t>
      </w:r>
      <w:r w:rsidR="004F1201">
        <w:rPr>
          <w:b/>
          <w:color w:val="62B5E5"/>
          <w:sz w:val="72"/>
          <w:szCs w:val="72"/>
          <w:u w:color="000000"/>
        </w:rPr>
        <w:br/>
      </w:r>
      <w:r w:rsidRPr="004F1201">
        <w:rPr>
          <w:b/>
          <w:color w:val="62B5E5"/>
          <w:sz w:val="72"/>
          <w:szCs w:val="72"/>
          <w:u w:color="000000"/>
        </w:rPr>
        <w:t>Medicaid Services</w:t>
      </w:r>
    </w:p>
    <w:p w14:paraId="1101DB28" w14:textId="18DB29BB" w:rsidR="00E6365C" w:rsidRPr="00D20454" w:rsidRDefault="00E6365C" w:rsidP="004F1201">
      <w:pPr>
        <w:pStyle w:val="BodyText"/>
        <w:spacing w:after="960"/>
        <w:ind w:left="835" w:hanging="835"/>
        <w:jc w:val="center"/>
        <w:rPr>
          <w:b/>
          <w:color w:val="093865"/>
          <w:sz w:val="56"/>
          <w:szCs w:val="56"/>
          <w:u w:color="000000"/>
        </w:rPr>
      </w:pPr>
      <w:r w:rsidRPr="00D20454">
        <w:rPr>
          <w:b/>
          <w:color w:val="093865"/>
          <w:sz w:val="56"/>
          <w:szCs w:val="56"/>
          <w:u w:color="000000"/>
        </w:rPr>
        <w:t xml:space="preserve">Section 1115 </w:t>
      </w:r>
      <w:r w:rsidR="00FC0F23" w:rsidRPr="00D20454">
        <w:rPr>
          <w:b/>
          <w:color w:val="093865"/>
          <w:sz w:val="56"/>
          <w:szCs w:val="56"/>
          <w:u w:color="000000"/>
        </w:rPr>
        <w:t xml:space="preserve">Reentry </w:t>
      </w:r>
      <w:r w:rsidRPr="00D20454">
        <w:rPr>
          <w:b/>
          <w:color w:val="093865"/>
          <w:sz w:val="56"/>
          <w:szCs w:val="56"/>
          <w:u w:color="000000"/>
        </w:rPr>
        <w:t>Demonstration</w:t>
      </w:r>
    </w:p>
    <w:p w14:paraId="0F413745" w14:textId="4AD24BE6" w:rsidR="00E6365C" w:rsidRPr="004F1201" w:rsidRDefault="00273E59" w:rsidP="004F1201">
      <w:pPr>
        <w:pStyle w:val="BodyText"/>
        <w:ind w:hanging="840"/>
        <w:jc w:val="center"/>
        <w:rPr>
          <w:b/>
          <w:color w:val="0D0D0D" w:themeColor="text1" w:themeTint="F2"/>
          <w:sz w:val="36"/>
          <w:szCs w:val="36"/>
          <w:u w:color="000000"/>
        </w:rPr>
      </w:pPr>
      <w:r w:rsidRPr="004F1201">
        <w:rPr>
          <w:b/>
          <w:color w:val="0D0D0D" w:themeColor="text1" w:themeTint="F2"/>
          <w:sz w:val="36"/>
          <w:szCs w:val="36"/>
          <w:u w:color="000000"/>
        </w:rPr>
        <w:t xml:space="preserve">November </w:t>
      </w:r>
      <w:r w:rsidR="000E39A1">
        <w:rPr>
          <w:b/>
          <w:color w:val="0D0D0D" w:themeColor="text1" w:themeTint="F2"/>
          <w:sz w:val="36"/>
          <w:szCs w:val="36"/>
          <w:u w:color="000000"/>
        </w:rPr>
        <w:t>9</w:t>
      </w:r>
      <w:r w:rsidRPr="004F1201">
        <w:rPr>
          <w:b/>
          <w:color w:val="0D0D0D" w:themeColor="text1" w:themeTint="F2"/>
          <w:sz w:val="36"/>
          <w:szCs w:val="36"/>
          <w:u w:color="000000"/>
        </w:rPr>
        <w:t>, 2023</w:t>
      </w:r>
    </w:p>
    <w:p w14:paraId="53F20C36" w14:textId="77777777" w:rsidR="004F1201" w:rsidRPr="004F1201" w:rsidRDefault="004F1201" w:rsidP="004F1201">
      <w:pPr>
        <w:pStyle w:val="BodyText"/>
        <w:ind w:hanging="840"/>
        <w:jc w:val="center"/>
        <w:rPr>
          <w:b/>
          <w:color w:val="093865"/>
          <w:sz w:val="56"/>
          <w:szCs w:val="56"/>
          <w:u w:color="000000"/>
        </w:rPr>
        <w:sectPr w:rsidR="004F1201" w:rsidRPr="004F1201" w:rsidSect="004F1201">
          <w:headerReference w:type="default" r:id="rId13"/>
          <w:pgSz w:w="12240" w:h="15840" w:code="1"/>
          <w:pgMar w:top="2250" w:right="1440" w:bottom="1440" w:left="1440" w:header="288" w:footer="288" w:gutter="0"/>
          <w:cols w:space="720"/>
        </w:sectPr>
      </w:pPr>
    </w:p>
    <w:bookmarkStart w:id="0" w:name="_Toc150417350" w:displacedByCustomXml="next"/>
    <w:sdt>
      <w:sdtPr>
        <w:rPr>
          <w:rFonts w:eastAsiaTheme="minorHAnsi"/>
          <w:bCs w:val="0"/>
          <w:color w:val="093B60"/>
          <w:spacing w:val="0"/>
          <w:sz w:val="24"/>
          <w:szCs w:val="24"/>
          <w:u w:val="none"/>
        </w:rPr>
        <w:id w:val="2035990357"/>
        <w:docPartObj>
          <w:docPartGallery w:val="Table of Contents"/>
          <w:docPartUnique/>
        </w:docPartObj>
      </w:sdtPr>
      <w:sdtEndPr>
        <w:rPr>
          <w:noProof/>
        </w:rPr>
      </w:sdtEndPr>
      <w:sdtContent>
        <w:p w14:paraId="07CB4BA9" w14:textId="77777777" w:rsidR="00E6365C" w:rsidRPr="009E6DD5" w:rsidRDefault="00E6365C" w:rsidP="00F4786E">
          <w:pPr>
            <w:pStyle w:val="Heading1"/>
          </w:pPr>
          <w:r w:rsidRPr="009E6DD5">
            <w:t>Table of Contents</w:t>
          </w:r>
          <w:bookmarkEnd w:id="0"/>
        </w:p>
        <w:p w14:paraId="2BEEF572" w14:textId="4E3BAD74" w:rsidR="004D286D" w:rsidRDefault="00EE4575">
          <w:pPr>
            <w:pStyle w:val="TOC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150417350" w:history="1">
            <w:r w:rsidR="004D286D" w:rsidRPr="000F3A69">
              <w:rPr>
                <w:rStyle w:val="Hyperlink"/>
                <w:noProof/>
              </w:rPr>
              <w:t>Table of Contents</w:t>
            </w:r>
            <w:r w:rsidR="004D286D">
              <w:rPr>
                <w:noProof/>
                <w:webHidden/>
              </w:rPr>
              <w:tab/>
            </w:r>
            <w:r w:rsidR="004D286D">
              <w:rPr>
                <w:noProof/>
                <w:webHidden/>
              </w:rPr>
              <w:fldChar w:fldCharType="begin"/>
            </w:r>
            <w:r w:rsidR="004D286D">
              <w:rPr>
                <w:noProof/>
                <w:webHidden/>
              </w:rPr>
              <w:instrText xml:space="preserve"> PAGEREF _Toc150417350 \h </w:instrText>
            </w:r>
            <w:r w:rsidR="004D286D">
              <w:rPr>
                <w:noProof/>
                <w:webHidden/>
              </w:rPr>
            </w:r>
            <w:r w:rsidR="004D286D">
              <w:rPr>
                <w:noProof/>
                <w:webHidden/>
              </w:rPr>
              <w:fldChar w:fldCharType="separate"/>
            </w:r>
            <w:r w:rsidR="001A1A35">
              <w:rPr>
                <w:noProof/>
                <w:webHidden/>
              </w:rPr>
              <w:t>1</w:t>
            </w:r>
            <w:r w:rsidR="004D286D">
              <w:rPr>
                <w:noProof/>
                <w:webHidden/>
              </w:rPr>
              <w:fldChar w:fldCharType="end"/>
            </w:r>
          </w:hyperlink>
        </w:p>
        <w:p w14:paraId="094ACE8A" w14:textId="29E755F0" w:rsidR="004D286D" w:rsidRDefault="00000000">
          <w:pPr>
            <w:pStyle w:val="TOC1"/>
            <w:rPr>
              <w:rFonts w:asciiTheme="minorHAnsi" w:eastAsiaTheme="minorEastAsia" w:hAnsiTheme="minorHAnsi" w:cstheme="minorBidi"/>
              <w:b w:val="0"/>
              <w:noProof/>
              <w:color w:val="auto"/>
              <w:sz w:val="22"/>
              <w:szCs w:val="22"/>
            </w:rPr>
          </w:pPr>
          <w:hyperlink w:anchor="_Toc150417351" w:history="1">
            <w:r w:rsidR="004D286D" w:rsidRPr="000F3A69">
              <w:rPr>
                <w:rStyle w:val="Hyperlink"/>
                <w:noProof/>
              </w:rPr>
              <w:t>Section I – Program Description</w:t>
            </w:r>
            <w:r w:rsidR="004D286D">
              <w:rPr>
                <w:noProof/>
                <w:webHidden/>
              </w:rPr>
              <w:tab/>
            </w:r>
            <w:r w:rsidR="004D286D">
              <w:rPr>
                <w:noProof/>
                <w:webHidden/>
              </w:rPr>
              <w:fldChar w:fldCharType="begin"/>
            </w:r>
            <w:r w:rsidR="004D286D">
              <w:rPr>
                <w:noProof/>
                <w:webHidden/>
              </w:rPr>
              <w:instrText xml:space="preserve"> PAGEREF _Toc150417351 \h </w:instrText>
            </w:r>
            <w:r w:rsidR="004D286D">
              <w:rPr>
                <w:noProof/>
                <w:webHidden/>
              </w:rPr>
            </w:r>
            <w:r w:rsidR="004D286D">
              <w:rPr>
                <w:noProof/>
                <w:webHidden/>
              </w:rPr>
              <w:fldChar w:fldCharType="separate"/>
            </w:r>
            <w:r w:rsidR="001A1A35">
              <w:rPr>
                <w:noProof/>
                <w:webHidden/>
              </w:rPr>
              <w:t>2</w:t>
            </w:r>
            <w:r w:rsidR="004D286D">
              <w:rPr>
                <w:noProof/>
                <w:webHidden/>
              </w:rPr>
              <w:fldChar w:fldCharType="end"/>
            </w:r>
          </w:hyperlink>
        </w:p>
        <w:p w14:paraId="15E2397C" w14:textId="50FCC439" w:rsidR="004D286D" w:rsidRDefault="00000000">
          <w:pPr>
            <w:pStyle w:val="TOC2"/>
            <w:rPr>
              <w:rFonts w:asciiTheme="minorHAnsi" w:eastAsiaTheme="minorEastAsia" w:hAnsiTheme="minorHAnsi" w:cstheme="minorBidi"/>
              <w:bCs w:val="0"/>
              <w:iCs w:val="0"/>
              <w:noProof/>
              <w:color w:val="auto"/>
              <w:sz w:val="22"/>
              <w:szCs w:val="22"/>
            </w:rPr>
          </w:pPr>
          <w:hyperlink w:anchor="_Toc150417352" w:history="1">
            <w:r w:rsidR="004D286D" w:rsidRPr="000F3A69">
              <w:rPr>
                <w:rStyle w:val="Hyperlink"/>
                <w:noProof/>
              </w:rPr>
              <w:t>Section I.A. Summary of Proposed Demonstration</w:t>
            </w:r>
            <w:r w:rsidR="004D286D">
              <w:rPr>
                <w:noProof/>
                <w:webHidden/>
              </w:rPr>
              <w:tab/>
            </w:r>
            <w:r w:rsidR="004D286D">
              <w:rPr>
                <w:noProof/>
                <w:webHidden/>
              </w:rPr>
              <w:fldChar w:fldCharType="begin"/>
            </w:r>
            <w:r w:rsidR="004D286D">
              <w:rPr>
                <w:noProof/>
                <w:webHidden/>
              </w:rPr>
              <w:instrText xml:space="preserve"> PAGEREF _Toc150417352 \h </w:instrText>
            </w:r>
            <w:r w:rsidR="004D286D">
              <w:rPr>
                <w:noProof/>
                <w:webHidden/>
              </w:rPr>
            </w:r>
            <w:r w:rsidR="004D286D">
              <w:rPr>
                <w:noProof/>
                <w:webHidden/>
              </w:rPr>
              <w:fldChar w:fldCharType="separate"/>
            </w:r>
            <w:r w:rsidR="001A1A35">
              <w:rPr>
                <w:noProof/>
                <w:webHidden/>
              </w:rPr>
              <w:t>2</w:t>
            </w:r>
            <w:r w:rsidR="004D286D">
              <w:rPr>
                <w:noProof/>
                <w:webHidden/>
              </w:rPr>
              <w:fldChar w:fldCharType="end"/>
            </w:r>
          </w:hyperlink>
        </w:p>
        <w:p w14:paraId="22C40A1D" w14:textId="0CF1CFA8" w:rsidR="004D286D" w:rsidRDefault="00000000">
          <w:pPr>
            <w:pStyle w:val="TOC2"/>
            <w:rPr>
              <w:rFonts w:asciiTheme="minorHAnsi" w:eastAsiaTheme="minorEastAsia" w:hAnsiTheme="minorHAnsi" w:cstheme="minorBidi"/>
              <w:bCs w:val="0"/>
              <w:iCs w:val="0"/>
              <w:noProof/>
              <w:color w:val="auto"/>
              <w:sz w:val="22"/>
              <w:szCs w:val="22"/>
            </w:rPr>
          </w:pPr>
          <w:hyperlink w:anchor="_Toc150417353" w:history="1">
            <w:r w:rsidR="004D286D" w:rsidRPr="000F3A69">
              <w:rPr>
                <w:rStyle w:val="Hyperlink"/>
                <w:noProof/>
              </w:rPr>
              <w:t>Section I.B. Rationale for Proposed Demonstration</w:t>
            </w:r>
            <w:r w:rsidR="004D286D">
              <w:rPr>
                <w:noProof/>
                <w:webHidden/>
              </w:rPr>
              <w:tab/>
            </w:r>
            <w:r w:rsidR="004D286D">
              <w:rPr>
                <w:noProof/>
                <w:webHidden/>
              </w:rPr>
              <w:fldChar w:fldCharType="begin"/>
            </w:r>
            <w:r w:rsidR="004D286D">
              <w:rPr>
                <w:noProof/>
                <w:webHidden/>
              </w:rPr>
              <w:instrText xml:space="preserve"> PAGEREF _Toc150417353 \h </w:instrText>
            </w:r>
            <w:r w:rsidR="004D286D">
              <w:rPr>
                <w:noProof/>
                <w:webHidden/>
              </w:rPr>
            </w:r>
            <w:r w:rsidR="004D286D">
              <w:rPr>
                <w:noProof/>
                <w:webHidden/>
              </w:rPr>
              <w:fldChar w:fldCharType="separate"/>
            </w:r>
            <w:r w:rsidR="001A1A35">
              <w:rPr>
                <w:noProof/>
                <w:webHidden/>
              </w:rPr>
              <w:t>4</w:t>
            </w:r>
            <w:r w:rsidR="004D286D">
              <w:rPr>
                <w:noProof/>
                <w:webHidden/>
              </w:rPr>
              <w:fldChar w:fldCharType="end"/>
            </w:r>
          </w:hyperlink>
        </w:p>
        <w:p w14:paraId="55C4B9A0" w14:textId="391EA4E6"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54" w:history="1">
            <w:r w:rsidR="004D286D" w:rsidRPr="000F3A69">
              <w:rPr>
                <w:rStyle w:val="Hyperlink"/>
                <w:noProof/>
              </w:rPr>
              <w:t>Increasing Incarceration Rates</w:t>
            </w:r>
            <w:r w:rsidR="004D286D">
              <w:rPr>
                <w:noProof/>
                <w:webHidden/>
              </w:rPr>
              <w:tab/>
            </w:r>
            <w:r w:rsidR="004D286D">
              <w:rPr>
                <w:noProof/>
                <w:webHidden/>
              </w:rPr>
              <w:fldChar w:fldCharType="begin"/>
            </w:r>
            <w:r w:rsidR="004D286D">
              <w:rPr>
                <w:noProof/>
                <w:webHidden/>
              </w:rPr>
              <w:instrText xml:space="preserve"> PAGEREF _Toc150417354 \h </w:instrText>
            </w:r>
            <w:r w:rsidR="004D286D">
              <w:rPr>
                <w:noProof/>
                <w:webHidden/>
              </w:rPr>
            </w:r>
            <w:r w:rsidR="004D286D">
              <w:rPr>
                <w:noProof/>
                <w:webHidden/>
              </w:rPr>
              <w:fldChar w:fldCharType="separate"/>
            </w:r>
            <w:r w:rsidR="001A1A35">
              <w:rPr>
                <w:noProof/>
                <w:webHidden/>
              </w:rPr>
              <w:t>4</w:t>
            </w:r>
            <w:r w:rsidR="004D286D">
              <w:rPr>
                <w:noProof/>
                <w:webHidden/>
              </w:rPr>
              <w:fldChar w:fldCharType="end"/>
            </w:r>
          </w:hyperlink>
        </w:p>
        <w:p w14:paraId="771206B7" w14:textId="52BD84A9"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55" w:history="1">
            <w:r w:rsidR="004D286D" w:rsidRPr="000F3A69">
              <w:rPr>
                <w:rStyle w:val="Hyperlink"/>
                <w:noProof/>
              </w:rPr>
              <w:t>Health Status of Incarcerated Individuals</w:t>
            </w:r>
            <w:r w:rsidR="004D286D">
              <w:rPr>
                <w:noProof/>
                <w:webHidden/>
              </w:rPr>
              <w:tab/>
            </w:r>
            <w:r w:rsidR="004D286D">
              <w:rPr>
                <w:noProof/>
                <w:webHidden/>
              </w:rPr>
              <w:fldChar w:fldCharType="begin"/>
            </w:r>
            <w:r w:rsidR="004D286D">
              <w:rPr>
                <w:noProof/>
                <w:webHidden/>
              </w:rPr>
              <w:instrText xml:space="preserve"> PAGEREF _Toc150417355 \h </w:instrText>
            </w:r>
            <w:r w:rsidR="004D286D">
              <w:rPr>
                <w:noProof/>
                <w:webHidden/>
              </w:rPr>
            </w:r>
            <w:r w:rsidR="004D286D">
              <w:rPr>
                <w:noProof/>
                <w:webHidden/>
              </w:rPr>
              <w:fldChar w:fldCharType="separate"/>
            </w:r>
            <w:r w:rsidR="001A1A35">
              <w:rPr>
                <w:noProof/>
                <w:webHidden/>
              </w:rPr>
              <w:t>5</w:t>
            </w:r>
            <w:r w:rsidR="004D286D">
              <w:rPr>
                <w:noProof/>
                <w:webHidden/>
              </w:rPr>
              <w:fldChar w:fldCharType="end"/>
            </w:r>
          </w:hyperlink>
        </w:p>
        <w:p w14:paraId="09988149" w14:textId="7FCBCD80"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56" w:history="1">
            <w:r w:rsidR="004D286D" w:rsidRPr="000F3A69">
              <w:rPr>
                <w:rStyle w:val="Hyperlink"/>
                <w:noProof/>
              </w:rPr>
              <w:t>Substance Use Disorder Crisis</w:t>
            </w:r>
            <w:r w:rsidR="004D286D">
              <w:rPr>
                <w:noProof/>
                <w:webHidden/>
              </w:rPr>
              <w:tab/>
            </w:r>
            <w:r w:rsidR="004D286D">
              <w:rPr>
                <w:noProof/>
                <w:webHidden/>
              </w:rPr>
              <w:fldChar w:fldCharType="begin"/>
            </w:r>
            <w:r w:rsidR="004D286D">
              <w:rPr>
                <w:noProof/>
                <w:webHidden/>
              </w:rPr>
              <w:instrText xml:space="preserve"> PAGEREF _Toc150417356 \h </w:instrText>
            </w:r>
            <w:r w:rsidR="004D286D">
              <w:rPr>
                <w:noProof/>
                <w:webHidden/>
              </w:rPr>
            </w:r>
            <w:r w:rsidR="004D286D">
              <w:rPr>
                <w:noProof/>
                <w:webHidden/>
              </w:rPr>
              <w:fldChar w:fldCharType="separate"/>
            </w:r>
            <w:r w:rsidR="001A1A35">
              <w:rPr>
                <w:noProof/>
                <w:webHidden/>
              </w:rPr>
              <w:t>7</w:t>
            </w:r>
            <w:r w:rsidR="004D286D">
              <w:rPr>
                <w:noProof/>
                <w:webHidden/>
              </w:rPr>
              <w:fldChar w:fldCharType="end"/>
            </w:r>
          </w:hyperlink>
        </w:p>
        <w:p w14:paraId="3AA48917" w14:textId="7C294039"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57" w:history="1">
            <w:r w:rsidR="004D286D" w:rsidRPr="000F3A69">
              <w:rPr>
                <w:rStyle w:val="Hyperlink"/>
                <w:noProof/>
              </w:rPr>
              <w:t>Continuing Kentucky’s Mission</w:t>
            </w:r>
            <w:r w:rsidR="004D286D">
              <w:rPr>
                <w:noProof/>
                <w:webHidden/>
              </w:rPr>
              <w:tab/>
            </w:r>
            <w:r w:rsidR="004D286D">
              <w:rPr>
                <w:noProof/>
                <w:webHidden/>
              </w:rPr>
              <w:fldChar w:fldCharType="begin"/>
            </w:r>
            <w:r w:rsidR="004D286D">
              <w:rPr>
                <w:noProof/>
                <w:webHidden/>
              </w:rPr>
              <w:instrText xml:space="preserve"> PAGEREF _Toc150417357 \h </w:instrText>
            </w:r>
            <w:r w:rsidR="004D286D">
              <w:rPr>
                <w:noProof/>
                <w:webHidden/>
              </w:rPr>
            </w:r>
            <w:r w:rsidR="004D286D">
              <w:rPr>
                <w:noProof/>
                <w:webHidden/>
              </w:rPr>
              <w:fldChar w:fldCharType="separate"/>
            </w:r>
            <w:r w:rsidR="001A1A35">
              <w:rPr>
                <w:noProof/>
                <w:webHidden/>
              </w:rPr>
              <w:t>9</w:t>
            </w:r>
            <w:r w:rsidR="004D286D">
              <w:rPr>
                <w:noProof/>
                <w:webHidden/>
              </w:rPr>
              <w:fldChar w:fldCharType="end"/>
            </w:r>
          </w:hyperlink>
        </w:p>
        <w:p w14:paraId="552BFA57" w14:textId="528A1C31"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58" w:history="1">
            <w:r w:rsidR="004D286D" w:rsidRPr="000F3A69">
              <w:rPr>
                <w:rStyle w:val="Hyperlink"/>
                <w:noProof/>
              </w:rPr>
              <w:t>Legislative</w:t>
            </w:r>
            <w:r w:rsidR="004D286D">
              <w:rPr>
                <w:noProof/>
                <w:webHidden/>
              </w:rPr>
              <w:tab/>
            </w:r>
            <w:r w:rsidR="004D286D">
              <w:rPr>
                <w:noProof/>
                <w:webHidden/>
              </w:rPr>
              <w:fldChar w:fldCharType="begin"/>
            </w:r>
            <w:r w:rsidR="004D286D">
              <w:rPr>
                <w:noProof/>
                <w:webHidden/>
              </w:rPr>
              <w:instrText xml:space="preserve"> PAGEREF _Toc150417358 \h </w:instrText>
            </w:r>
            <w:r w:rsidR="004D286D">
              <w:rPr>
                <w:noProof/>
                <w:webHidden/>
              </w:rPr>
            </w:r>
            <w:r w:rsidR="004D286D">
              <w:rPr>
                <w:noProof/>
                <w:webHidden/>
              </w:rPr>
              <w:fldChar w:fldCharType="separate"/>
            </w:r>
            <w:r w:rsidR="001A1A35">
              <w:rPr>
                <w:noProof/>
                <w:webHidden/>
              </w:rPr>
              <w:t>9</w:t>
            </w:r>
            <w:r w:rsidR="004D286D">
              <w:rPr>
                <w:noProof/>
                <w:webHidden/>
              </w:rPr>
              <w:fldChar w:fldCharType="end"/>
            </w:r>
          </w:hyperlink>
        </w:p>
        <w:p w14:paraId="132FC449" w14:textId="18BADB51"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59" w:history="1">
            <w:r w:rsidR="004D286D" w:rsidRPr="000F3A69">
              <w:rPr>
                <w:rStyle w:val="Hyperlink"/>
                <w:noProof/>
              </w:rPr>
              <w:t>Administrative</w:t>
            </w:r>
            <w:r w:rsidR="004D286D">
              <w:rPr>
                <w:noProof/>
                <w:webHidden/>
              </w:rPr>
              <w:tab/>
            </w:r>
            <w:r w:rsidR="004D286D">
              <w:rPr>
                <w:noProof/>
                <w:webHidden/>
              </w:rPr>
              <w:fldChar w:fldCharType="begin"/>
            </w:r>
            <w:r w:rsidR="004D286D">
              <w:rPr>
                <w:noProof/>
                <w:webHidden/>
              </w:rPr>
              <w:instrText xml:space="preserve"> PAGEREF _Toc150417359 \h </w:instrText>
            </w:r>
            <w:r w:rsidR="004D286D">
              <w:rPr>
                <w:noProof/>
                <w:webHidden/>
              </w:rPr>
            </w:r>
            <w:r w:rsidR="004D286D">
              <w:rPr>
                <w:noProof/>
                <w:webHidden/>
              </w:rPr>
              <w:fldChar w:fldCharType="separate"/>
            </w:r>
            <w:r w:rsidR="001A1A35">
              <w:rPr>
                <w:noProof/>
                <w:webHidden/>
              </w:rPr>
              <w:t>10</w:t>
            </w:r>
            <w:r w:rsidR="004D286D">
              <w:rPr>
                <w:noProof/>
                <w:webHidden/>
              </w:rPr>
              <w:fldChar w:fldCharType="end"/>
            </w:r>
          </w:hyperlink>
        </w:p>
        <w:p w14:paraId="2A89CE7B" w14:textId="656F8B52"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60" w:history="1">
            <w:r w:rsidR="004D286D" w:rsidRPr="000F3A69">
              <w:rPr>
                <w:rStyle w:val="Hyperlink"/>
                <w:noProof/>
              </w:rPr>
              <w:t>Waiver-Specific</w:t>
            </w:r>
            <w:r w:rsidR="004D286D">
              <w:rPr>
                <w:noProof/>
                <w:webHidden/>
              </w:rPr>
              <w:tab/>
            </w:r>
            <w:r w:rsidR="004D286D">
              <w:rPr>
                <w:noProof/>
                <w:webHidden/>
              </w:rPr>
              <w:fldChar w:fldCharType="begin"/>
            </w:r>
            <w:r w:rsidR="004D286D">
              <w:rPr>
                <w:noProof/>
                <w:webHidden/>
              </w:rPr>
              <w:instrText xml:space="preserve"> PAGEREF _Toc150417360 \h </w:instrText>
            </w:r>
            <w:r w:rsidR="004D286D">
              <w:rPr>
                <w:noProof/>
                <w:webHidden/>
              </w:rPr>
            </w:r>
            <w:r w:rsidR="004D286D">
              <w:rPr>
                <w:noProof/>
                <w:webHidden/>
              </w:rPr>
              <w:fldChar w:fldCharType="separate"/>
            </w:r>
            <w:r w:rsidR="001A1A35">
              <w:rPr>
                <w:noProof/>
                <w:webHidden/>
              </w:rPr>
              <w:t>12</w:t>
            </w:r>
            <w:r w:rsidR="004D286D">
              <w:rPr>
                <w:noProof/>
                <w:webHidden/>
              </w:rPr>
              <w:fldChar w:fldCharType="end"/>
            </w:r>
          </w:hyperlink>
        </w:p>
        <w:p w14:paraId="03C313BD" w14:textId="66DEB048"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61" w:history="1">
            <w:r w:rsidR="004D286D" w:rsidRPr="000F3A69">
              <w:rPr>
                <w:rStyle w:val="Hyperlink"/>
                <w:noProof/>
              </w:rPr>
              <w:t>Stakeholder Engagement</w:t>
            </w:r>
            <w:r w:rsidR="004D286D">
              <w:rPr>
                <w:noProof/>
                <w:webHidden/>
              </w:rPr>
              <w:tab/>
            </w:r>
            <w:r w:rsidR="004D286D">
              <w:rPr>
                <w:noProof/>
                <w:webHidden/>
              </w:rPr>
              <w:fldChar w:fldCharType="begin"/>
            </w:r>
            <w:r w:rsidR="004D286D">
              <w:rPr>
                <w:noProof/>
                <w:webHidden/>
              </w:rPr>
              <w:instrText xml:space="preserve"> PAGEREF _Toc150417361 \h </w:instrText>
            </w:r>
            <w:r w:rsidR="004D286D">
              <w:rPr>
                <w:noProof/>
                <w:webHidden/>
              </w:rPr>
            </w:r>
            <w:r w:rsidR="004D286D">
              <w:rPr>
                <w:noProof/>
                <w:webHidden/>
              </w:rPr>
              <w:fldChar w:fldCharType="separate"/>
            </w:r>
            <w:r w:rsidR="001A1A35">
              <w:rPr>
                <w:noProof/>
                <w:webHidden/>
              </w:rPr>
              <w:t>12</w:t>
            </w:r>
            <w:r w:rsidR="004D286D">
              <w:rPr>
                <w:noProof/>
                <w:webHidden/>
              </w:rPr>
              <w:fldChar w:fldCharType="end"/>
            </w:r>
          </w:hyperlink>
        </w:p>
        <w:p w14:paraId="6DD8DEF9" w14:textId="733655A0" w:rsidR="004D286D" w:rsidRDefault="00000000">
          <w:pPr>
            <w:pStyle w:val="TOC2"/>
            <w:rPr>
              <w:rFonts w:asciiTheme="minorHAnsi" w:eastAsiaTheme="minorEastAsia" w:hAnsiTheme="minorHAnsi" w:cstheme="minorBidi"/>
              <w:bCs w:val="0"/>
              <w:iCs w:val="0"/>
              <w:noProof/>
              <w:color w:val="auto"/>
              <w:sz w:val="22"/>
              <w:szCs w:val="22"/>
            </w:rPr>
          </w:pPr>
          <w:hyperlink w:anchor="_Toc150417362" w:history="1">
            <w:r w:rsidR="004D286D" w:rsidRPr="000F3A69">
              <w:rPr>
                <w:rStyle w:val="Hyperlink"/>
                <w:noProof/>
              </w:rPr>
              <w:t>Section I.C. Demonstration Hypotheses</w:t>
            </w:r>
            <w:r w:rsidR="004D286D">
              <w:rPr>
                <w:noProof/>
                <w:webHidden/>
              </w:rPr>
              <w:tab/>
            </w:r>
            <w:r w:rsidR="004D286D">
              <w:rPr>
                <w:noProof/>
                <w:webHidden/>
              </w:rPr>
              <w:fldChar w:fldCharType="begin"/>
            </w:r>
            <w:r w:rsidR="004D286D">
              <w:rPr>
                <w:noProof/>
                <w:webHidden/>
              </w:rPr>
              <w:instrText xml:space="preserve"> PAGEREF _Toc150417362 \h </w:instrText>
            </w:r>
            <w:r w:rsidR="004D286D">
              <w:rPr>
                <w:noProof/>
                <w:webHidden/>
              </w:rPr>
            </w:r>
            <w:r w:rsidR="004D286D">
              <w:rPr>
                <w:noProof/>
                <w:webHidden/>
              </w:rPr>
              <w:fldChar w:fldCharType="separate"/>
            </w:r>
            <w:r w:rsidR="001A1A35">
              <w:rPr>
                <w:noProof/>
                <w:webHidden/>
              </w:rPr>
              <w:t>14</w:t>
            </w:r>
            <w:r w:rsidR="004D286D">
              <w:rPr>
                <w:noProof/>
                <w:webHidden/>
              </w:rPr>
              <w:fldChar w:fldCharType="end"/>
            </w:r>
          </w:hyperlink>
        </w:p>
        <w:p w14:paraId="33EEE1D5" w14:textId="7172BE3E" w:rsidR="004D286D" w:rsidRDefault="00000000">
          <w:pPr>
            <w:pStyle w:val="TOC2"/>
            <w:rPr>
              <w:rFonts w:asciiTheme="minorHAnsi" w:eastAsiaTheme="minorEastAsia" w:hAnsiTheme="minorHAnsi" w:cstheme="minorBidi"/>
              <w:bCs w:val="0"/>
              <w:iCs w:val="0"/>
              <w:noProof/>
              <w:color w:val="auto"/>
              <w:sz w:val="22"/>
              <w:szCs w:val="22"/>
            </w:rPr>
          </w:pPr>
          <w:hyperlink w:anchor="_Toc150417363" w:history="1">
            <w:r w:rsidR="004D286D" w:rsidRPr="000F3A69">
              <w:rPr>
                <w:rStyle w:val="Hyperlink"/>
                <w:noProof/>
              </w:rPr>
              <w:t>Section I.D. Demonstration Area and Timeframe</w:t>
            </w:r>
            <w:r w:rsidR="004D286D">
              <w:rPr>
                <w:noProof/>
                <w:webHidden/>
              </w:rPr>
              <w:tab/>
            </w:r>
            <w:r w:rsidR="004D286D">
              <w:rPr>
                <w:noProof/>
                <w:webHidden/>
              </w:rPr>
              <w:fldChar w:fldCharType="begin"/>
            </w:r>
            <w:r w:rsidR="004D286D">
              <w:rPr>
                <w:noProof/>
                <w:webHidden/>
              </w:rPr>
              <w:instrText xml:space="preserve"> PAGEREF _Toc150417363 \h </w:instrText>
            </w:r>
            <w:r w:rsidR="004D286D">
              <w:rPr>
                <w:noProof/>
                <w:webHidden/>
              </w:rPr>
            </w:r>
            <w:r w:rsidR="004D286D">
              <w:rPr>
                <w:noProof/>
                <w:webHidden/>
              </w:rPr>
              <w:fldChar w:fldCharType="separate"/>
            </w:r>
            <w:r w:rsidR="001A1A35">
              <w:rPr>
                <w:noProof/>
                <w:webHidden/>
              </w:rPr>
              <w:t>17</w:t>
            </w:r>
            <w:r w:rsidR="004D286D">
              <w:rPr>
                <w:noProof/>
                <w:webHidden/>
              </w:rPr>
              <w:fldChar w:fldCharType="end"/>
            </w:r>
          </w:hyperlink>
        </w:p>
        <w:p w14:paraId="6E5A6717" w14:textId="4C6FA32E" w:rsidR="004D286D" w:rsidRDefault="00000000">
          <w:pPr>
            <w:pStyle w:val="TOC2"/>
            <w:rPr>
              <w:rFonts w:asciiTheme="minorHAnsi" w:eastAsiaTheme="minorEastAsia" w:hAnsiTheme="minorHAnsi" w:cstheme="minorBidi"/>
              <w:bCs w:val="0"/>
              <w:iCs w:val="0"/>
              <w:noProof/>
              <w:color w:val="auto"/>
              <w:sz w:val="22"/>
              <w:szCs w:val="22"/>
            </w:rPr>
          </w:pPr>
          <w:hyperlink w:anchor="_Toc150417364" w:history="1">
            <w:r w:rsidR="004D286D" w:rsidRPr="000F3A69">
              <w:rPr>
                <w:rStyle w:val="Hyperlink"/>
                <w:noProof/>
              </w:rPr>
              <w:t>Section I.E. Impact to Medicaid or CHIP</w:t>
            </w:r>
            <w:r w:rsidR="004D286D">
              <w:rPr>
                <w:noProof/>
                <w:webHidden/>
              </w:rPr>
              <w:tab/>
            </w:r>
            <w:r w:rsidR="004D286D">
              <w:rPr>
                <w:noProof/>
                <w:webHidden/>
              </w:rPr>
              <w:fldChar w:fldCharType="begin"/>
            </w:r>
            <w:r w:rsidR="004D286D">
              <w:rPr>
                <w:noProof/>
                <w:webHidden/>
              </w:rPr>
              <w:instrText xml:space="preserve"> PAGEREF _Toc150417364 \h </w:instrText>
            </w:r>
            <w:r w:rsidR="004D286D">
              <w:rPr>
                <w:noProof/>
                <w:webHidden/>
              </w:rPr>
            </w:r>
            <w:r w:rsidR="004D286D">
              <w:rPr>
                <w:noProof/>
                <w:webHidden/>
              </w:rPr>
              <w:fldChar w:fldCharType="separate"/>
            </w:r>
            <w:r w:rsidR="001A1A35">
              <w:rPr>
                <w:noProof/>
                <w:webHidden/>
              </w:rPr>
              <w:t>17</w:t>
            </w:r>
            <w:r w:rsidR="004D286D">
              <w:rPr>
                <w:noProof/>
                <w:webHidden/>
              </w:rPr>
              <w:fldChar w:fldCharType="end"/>
            </w:r>
          </w:hyperlink>
        </w:p>
        <w:p w14:paraId="1D31DED6" w14:textId="6EF26C30" w:rsidR="004D286D" w:rsidRDefault="00000000">
          <w:pPr>
            <w:pStyle w:val="TOC1"/>
            <w:rPr>
              <w:rFonts w:asciiTheme="minorHAnsi" w:eastAsiaTheme="minorEastAsia" w:hAnsiTheme="minorHAnsi" w:cstheme="minorBidi"/>
              <w:b w:val="0"/>
              <w:noProof/>
              <w:color w:val="auto"/>
              <w:sz w:val="22"/>
              <w:szCs w:val="22"/>
            </w:rPr>
          </w:pPr>
          <w:hyperlink w:anchor="_Toc150417365" w:history="1">
            <w:r w:rsidR="004D286D" w:rsidRPr="000F3A69">
              <w:rPr>
                <w:rStyle w:val="Hyperlink"/>
                <w:noProof/>
              </w:rPr>
              <w:t>Section II – Demonstration Eligibility</w:t>
            </w:r>
            <w:r w:rsidR="004D286D">
              <w:rPr>
                <w:noProof/>
                <w:webHidden/>
              </w:rPr>
              <w:tab/>
            </w:r>
            <w:r w:rsidR="004D286D">
              <w:rPr>
                <w:noProof/>
                <w:webHidden/>
              </w:rPr>
              <w:fldChar w:fldCharType="begin"/>
            </w:r>
            <w:r w:rsidR="004D286D">
              <w:rPr>
                <w:noProof/>
                <w:webHidden/>
              </w:rPr>
              <w:instrText xml:space="preserve"> PAGEREF _Toc150417365 \h </w:instrText>
            </w:r>
            <w:r w:rsidR="004D286D">
              <w:rPr>
                <w:noProof/>
                <w:webHidden/>
              </w:rPr>
            </w:r>
            <w:r w:rsidR="004D286D">
              <w:rPr>
                <w:noProof/>
                <w:webHidden/>
              </w:rPr>
              <w:fldChar w:fldCharType="separate"/>
            </w:r>
            <w:r w:rsidR="001A1A35">
              <w:rPr>
                <w:noProof/>
                <w:webHidden/>
              </w:rPr>
              <w:t>17</w:t>
            </w:r>
            <w:r w:rsidR="004D286D">
              <w:rPr>
                <w:noProof/>
                <w:webHidden/>
              </w:rPr>
              <w:fldChar w:fldCharType="end"/>
            </w:r>
          </w:hyperlink>
        </w:p>
        <w:p w14:paraId="1D3E666D" w14:textId="1AE53D8D" w:rsidR="004D286D" w:rsidRDefault="00000000">
          <w:pPr>
            <w:pStyle w:val="TOC1"/>
            <w:rPr>
              <w:rFonts w:asciiTheme="minorHAnsi" w:eastAsiaTheme="minorEastAsia" w:hAnsiTheme="minorHAnsi" w:cstheme="minorBidi"/>
              <w:b w:val="0"/>
              <w:noProof/>
              <w:color w:val="auto"/>
              <w:sz w:val="22"/>
              <w:szCs w:val="22"/>
            </w:rPr>
          </w:pPr>
          <w:hyperlink w:anchor="_Toc150417366" w:history="1">
            <w:r w:rsidR="004D286D" w:rsidRPr="000F3A69">
              <w:rPr>
                <w:rStyle w:val="Hyperlink"/>
                <w:noProof/>
              </w:rPr>
              <w:t>Section III – Demonstration Benefits and Cost Sharing Requirements</w:t>
            </w:r>
            <w:r w:rsidR="004D286D">
              <w:rPr>
                <w:noProof/>
                <w:webHidden/>
              </w:rPr>
              <w:tab/>
            </w:r>
            <w:r w:rsidR="004D286D">
              <w:rPr>
                <w:noProof/>
                <w:webHidden/>
              </w:rPr>
              <w:fldChar w:fldCharType="begin"/>
            </w:r>
            <w:r w:rsidR="004D286D">
              <w:rPr>
                <w:noProof/>
                <w:webHidden/>
              </w:rPr>
              <w:instrText xml:space="preserve"> PAGEREF _Toc150417366 \h </w:instrText>
            </w:r>
            <w:r w:rsidR="004D286D">
              <w:rPr>
                <w:noProof/>
                <w:webHidden/>
              </w:rPr>
            </w:r>
            <w:r w:rsidR="004D286D">
              <w:rPr>
                <w:noProof/>
                <w:webHidden/>
              </w:rPr>
              <w:fldChar w:fldCharType="separate"/>
            </w:r>
            <w:r w:rsidR="001A1A35">
              <w:rPr>
                <w:noProof/>
                <w:webHidden/>
              </w:rPr>
              <w:t>18</w:t>
            </w:r>
            <w:r w:rsidR="004D286D">
              <w:rPr>
                <w:noProof/>
                <w:webHidden/>
              </w:rPr>
              <w:fldChar w:fldCharType="end"/>
            </w:r>
          </w:hyperlink>
        </w:p>
        <w:p w14:paraId="7DEC1D4A" w14:textId="5DF4CAE9" w:rsidR="004D286D" w:rsidRDefault="00000000">
          <w:pPr>
            <w:pStyle w:val="TOC1"/>
            <w:rPr>
              <w:rFonts w:asciiTheme="minorHAnsi" w:eastAsiaTheme="minorEastAsia" w:hAnsiTheme="minorHAnsi" w:cstheme="minorBidi"/>
              <w:b w:val="0"/>
              <w:noProof/>
              <w:color w:val="auto"/>
              <w:sz w:val="22"/>
              <w:szCs w:val="22"/>
            </w:rPr>
          </w:pPr>
          <w:hyperlink w:anchor="_Toc150417367" w:history="1">
            <w:r w:rsidR="004D286D" w:rsidRPr="000F3A69">
              <w:rPr>
                <w:rStyle w:val="Hyperlink"/>
                <w:noProof/>
                <w:u w:color="000000"/>
              </w:rPr>
              <w:t>Section IV</w:t>
            </w:r>
            <w:r w:rsidR="004D286D" w:rsidRPr="000F3A69">
              <w:rPr>
                <w:rStyle w:val="Hyperlink"/>
                <w:noProof/>
                <w:spacing w:val="-7"/>
                <w:u w:color="000000"/>
              </w:rPr>
              <w:t xml:space="preserve"> </w:t>
            </w:r>
            <w:r w:rsidR="004D286D" w:rsidRPr="000F3A69">
              <w:rPr>
                <w:rStyle w:val="Hyperlink"/>
                <w:noProof/>
                <w:u w:color="000000"/>
              </w:rPr>
              <w:t xml:space="preserve">– </w:t>
            </w:r>
            <w:r w:rsidR="004D286D" w:rsidRPr="000F3A69">
              <w:rPr>
                <w:rStyle w:val="Hyperlink"/>
                <w:noProof/>
                <w:spacing w:val="-2"/>
                <w:u w:color="000000"/>
              </w:rPr>
              <w:t>Delivery</w:t>
            </w:r>
            <w:r w:rsidR="004D286D" w:rsidRPr="000F3A69">
              <w:rPr>
                <w:rStyle w:val="Hyperlink"/>
                <w:noProof/>
                <w:u w:color="000000"/>
              </w:rPr>
              <w:t xml:space="preserve"> System</w:t>
            </w:r>
            <w:r w:rsidR="004D286D" w:rsidRPr="000F3A69">
              <w:rPr>
                <w:rStyle w:val="Hyperlink"/>
                <w:noProof/>
                <w:spacing w:val="-9"/>
                <w:u w:color="000000"/>
              </w:rPr>
              <w:t xml:space="preserve"> </w:t>
            </w:r>
            <w:r w:rsidR="004D286D" w:rsidRPr="000F3A69">
              <w:rPr>
                <w:rStyle w:val="Hyperlink"/>
                <w:noProof/>
                <w:u w:color="000000"/>
              </w:rPr>
              <w:t xml:space="preserve">and </w:t>
            </w:r>
            <w:r w:rsidR="004D286D" w:rsidRPr="000F3A69">
              <w:rPr>
                <w:rStyle w:val="Hyperlink"/>
                <w:noProof/>
                <w:spacing w:val="-2"/>
                <w:u w:color="000000"/>
              </w:rPr>
              <w:t>Payment</w:t>
            </w:r>
            <w:r w:rsidR="004D286D" w:rsidRPr="000F3A69">
              <w:rPr>
                <w:rStyle w:val="Hyperlink"/>
                <w:noProof/>
                <w:u w:color="000000"/>
              </w:rPr>
              <w:t xml:space="preserve"> </w:t>
            </w:r>
            <w:r w:rsidR="004D286D" w:rsidRPr="000F3A69">
              <w:rPr>
                <w:rStyle w:val="Hyperlink"/>
                <w:noProof/>
                <w:spacing w:val="-2"/>
                <w:u w:color="000000"/>
              </w:rPr>
              <w:t>Rates</w:t>
            </w:r>
            <w:r w:rsidR="004D286D" w:rsidRPr="000F3A69">
              <w:rPr>
                <w:rStyle w:val="Hyperlink"/>
                <w:noProof/>
                <w:u w:color="000000"/>
              </w:rPr>
              <w:t xml:space="preserve"> for</w:t>
            </w:r>
            <w:r w:rsidR="004D286D" w:rsidRPr="000F3A69">
              <w:rPr>
                <w:rStyle w:val="Hyperlink"/>
                <w:noProof/>
                <w:spacing w:val="-2"/>
                <w:u w:color="000000"/>
              </w:rPr>
              <w:t xml:space="preserve"> </w:t>
            </w:r>
            <w:r w:rsidR="004D286D" w:rsidRPr="000F3A69">
              <w:rPr>
                <w:rStyle w:val="Hyperlink"/>
                <w:noProof/>
                <w:u w:color="000000"/>
              </w:rPr>
              <w:t>Services</w:t>
            </w:r>
            <w:r w:rsidR="004D286D">
              <w:rPr>
                <w:noProof/>
                <w:webHidden/>
              </w:rPr>
              <w:tab/>
            </w:r>
            <w:r w:rsidR="004D286D">
              <w:rPr>
                <w:noProof/>
                <w:webHidden/>
              </w:rPr>
              <w:fldChar w:fldCharType="begin"/>
            </w:r>
            <w:r w:rsidR="004D286D">
              <w:rPr>
                <w:noProof/>
                <w:webHidden/>
              </w:rPr>
              <w:instrText xml:space="preserve"> PAGEREF _Toc150417367 \h </w:instrText>
            </w:r>
            <w:r w:rsidR="004D286D">
              <w:rPr>
                <w:noProof/>
                <w:webHidden/>
              </w:rPr>
            </w:r>
            <w:r w:rsidR="004D286D">
              <w:rPr>
                <w:noProof/>
                <w:webHidden/>
              </w:rPr>
              <w:fldChar w:fldCharType="separate"/>
            </w:r>
            <w:r w:rsidR="001A1A35">
              <w:rPr>
                <w:noProof/>
                <w:webHidden/>
              </w:rPr>
              <w:t>19</w:t>
            </w:r>
            <w:r w:rsidR="004D286D">
              <w:rPr>
                <w:noProof/>
                <w:webHidden/>
              </w:rPr>
              <w:fldChar w:fldCharType="end"/>
            </w:r>
          </w:hyperlink>
        </w:p>
        <w:p w14:paraId="662C9AD7" w14:textId="476D4EA4" w:rsidR="004D286D" w:rsidRDefault="00000000">
          <w:pPr>
            <w:pStyle w:val="TOC1"/>
            <w:rPr>
              <w:rFonts w:asciiTheme="minorHAnsi" w:eastAsiaTheme="minorEastAsia" w:hAnsiTheme="minorHAnsi" w:cstheme="minorBidi"/>
              <w:b w:val="0"/>
              <w:noProof/>
              <w:color w:val="auto"/>
              <w:sz w:val="22"/>
              <w:szCs w:val="22"/>
            </w:rPr>
          </w:pPr>
          <w:hyperlink w:anchor="_Toc150417368" w:history="1">
            <w:r w:rsidR="004D286D" w:rsidRPr="000F3A69">
              <w:rPr>
                <w:rStyle w:val="Hyperlink"/>
                <w:noProof/>
                <w:u w:color="000000"/>
              </w:rPr>
              <w:t>Section V</w:t>
            </w:r>
            <w:r w:rsidR="004D286D" w:rsidRPr="000F3A69">
              <w:rPr>
                <w:rStyle w:val="Hyperlink"/>
                <w:noProof/>
                <w:spacing w:val="-5"/>
                <w:u w:color="000000"/>
              </w:rPr>
              <w:t xml:space="preserve"> </w:t>
            </w:r>
            <w:r w:rsidR="004D286D" w:rsidRPr="000F3A69">
              <w:rPr>
                <w:rStyle w:val="Hyperlink"/>
                <w:noProof/>
                <w:u w:color="000000"/>
              </w:rPr>
              <w:t>–</w:t>
            </w:r>
            <w:r w:rsidR="004D286D" w:rsidRPr="000F3A69">
              <w:rPr>
                <w:rStyle w:val="Hyperlink"/>
                <w:noProof/>
                <w:spacing w:val="-2"/>
                <w:u w:color="000000"/>
              </w:rPr>
              <w:t xml:space="preserve"> </w:t>
            </w:r>
            <w:r w:rsidR="004D286D" w:rsidRPr="000F3A69">
              <w:rPr>
                <w:rStyle w:val="Hyperlink"/>
                <w:noProof/>
                <w:u w:color="000000"/>
              </w:rPr>
              <w:t>Implementation</w:t>
            </w:r>
            <w:r w:rsidR="004D286D" w:rsidRPr="000F3A69">
              <w:rPr>
                <w:rStyle w:val="Hyperlink"/>
                <w:noProof/>
                <w:spacing w:val="-5"/>
                <w:u w:color="000000"/>
              </w:rPr>
              <w:t xml:space="preserve"> </w:t>
            </w:r>
            <w:r w:rsidR="004D286D" w:rsidRPr="000F3A69">
              <w:rPr>
                <w:rStyle w:val="Hyperlink"/>
                <w:noProof/>
                <w:spacing w:val="1"/>
                <w:u w:color="000000"/>
              </w:rPr>
              <w:t>of</w:t>
            </w:r>
            <w:r w:rsidR="004D286D" w:rsidRPr="000F3A69">
              <w:rPr>
                <w:rStyle w:val="Hyperlink"/>
                <w:noProof/>
                <w:spacing w:val="-4"/>
                <w:u w:color="000000"/>
              </w:rPr>
              <w:t xml:space="preserve"> </w:t>
            </w:r>
            <w:r w:rsidR="004D286D" w:rsidRPr="000F3A69">
              <w:rPr>
                <w:rStyle w:val="Hyperlink"/>
                <w:noProof/>
                <w:u w:color="000000"/>
              </w:rPr>
              <w:t>Demonstration</w:t>
            </w:r>
            <w:r w:rsidR="004D286D">
              <w:rPr>
                <w:noProof/>
                <w:webHidden/>
              </w:rPr>
              <w:tab/>
            </w:r>
            <w:r w:rsidR="004D286D">
              <w:rPr>
                <w:noProof/>
                <w:webHidden/>
              </w:rPr>
              <w:fldChar w:fldCharType="begin"/>
            </w:r>
            <w:r w:rsidR="004D286D">
              <w:rPr>
                <w:noProof/>
                <w:webHidden/>
              </w:rPr>
              <w:instrText xml:space="preserve"> PAGEREF _Toc150417368 \h </w:instrText>
            </w:r>
            <w:r w:rsidR="004D286D">
              <w:rPr>
                <w:noProof/>
                <w:webHidden/>
              </w:rPr>
            </w:r>
            <w:r w:rsidR="004D286D">
              <w:rPr>
                <w:noProof/>
                <w:webHidden/>
              </w:rPr>
              <w:fldChar w:fldCharType="separate"/>
            </w:r>
            <w:r w:rsidR="001A1A35">
              <w:rPr>
                <w:noProof/>
                <w:webHidden/>
              </w:rPr>
              <w:t>19</w:t>
            </w:r>
            <w:r w:rsidR="004D286D">
              <w:rPr>
                <w:noProof/>
                <w:webHidden/>
              </w:rPr>
              <w:fldChar w:fldCharType="end"/>
            </w:r>
          </w:hyperlink>
        </w:p>
        <w:p w14:paraId="583D06CA" w14:textId="7EF2958C" w:rsidR="004D286D" w:rsidRDefault="00000000">
          <w:pPr>
            <w:pStyle w:val="TOC2"/>
            <w:rPr>
              <w:rFonts w:asciiTheme="minorHAnsi" w:eastAsiaTheme="minorEastAsia" w:hAnsiTheme="minorHAnsi" w:cstheme="minorBidi"/>
              <w:bCs w:val="0"/>
              <w:iCs w:val="0"/>
              <w:noProof/>
              <w:color w:val="auto"/>
              <w:sz w:val="22"/>
              <w:szCs w:val="22"/>
            </w:rPr>
          </w:pPr>
          <w:hyperlink w:anchor="_Toc150417369" w:history="1">
            <w:r w:rsidR="004D286D" w:rsidRPr="000F3A69">
              <w:rPr>
                <w:rStyle w:val="Hyperlink"/>
                <w:noProof/>
              </w:rPr>
              <w:t>Governance</w:t>
            </w:r>
            <w:r w:rsidR="004D286D">
              <w:rPr>
                <w:noProof/>
                <w:webHidden/>
              </w:rPr>
              <w:tab/>
            </w:r>
            <w:r w:rsidR="004D286D">
              <w:rPr>
                <w:noProof/>
                <w:webHidden/>
              </w:rPr>
              <w:fldChar w:fldCharType="begin"/>
            </w:r>
            <w:r w:rsidR="004D286D">
              <w:rPr>
                <w:noProof/>
                <w:webHidden/>
              </w:rPr>
              <w:instrText xml:space="preserve"> PAGEREF _Toc150417369 \h </w:instrText>
            </w:r>
            <w:r w:rsidR="004D286D">
              <w:rPr>
                <w:noProof/>
                <w:webHidden/>
              </w:rPr>
            </w:r>
            <w:r w:rsidR="004D286D">
              <w:rPr>
                <w:noProof/>
                <w:webHidden/>
              </w:rPr>
              <w:fldChar w:fldCharType="separate"/>
            </w:r>
            <w:r w:rsidR="001A1A35">
              <w:rPr>
                <w:noProof/>
                <w:webHidden/>
              </w:rPr>
              <w:t>19</w:t>
            </w:r>
            <w:r w:rsidR="004D286D">
              <w:rPr>
                <w:noProof/>
                <w:webHidden/>
              </w:rPr>
              <w:fldChar w:fldCharType="end"/>
            </w:r>
          </w:hyperlink>
        </w:p>
        <w:p w14:paraId="383A67AC" w14:textId="72F5EE8D" w:rsidR="004D286D" w:rsidRDefault="00000000">
          <w:pPr>
            <w:pStyle w:val="TOC2"/>
            <w:rPr>
              <w:rFonts w:asciiTheme="minorHAnsi" w:eastAsiaTheme="minorEastAsia" w:hAnsiTheme="minorHAnsi" w:cstheme="minorBidi"/>
              <w:bCs w:val="0"/>
              <w:iCs w:val="0"/>
              <w:noProof/>
              <w:color w:val="auto"/>
              <w:sz w:val="22"/>
              <w:szCs w:val="22"/>
            </w:rPr>
          </w:pPr>
          <w:hyperlink w:anchor="_Toc150417370" w:history="1">
            <w:r w:rsidR="004D286D" w:rsidRPr="000F3A69">
              <w:rPr>
                <w:rStyle w:val="Hyperlink"/>
                <w:noProof/>
              </w:rPr>
              <w:t>Notification and Enrollment</w:t>
            </w:r>
            <w:r w:rsidR="004D286D">
              <w:rPr>
                <w:noProof/>
                <w:webHidden/>
              </w:rPr>
              <w:tab/>
            </w:r>
            <w:r w:rsidR="004D286D">
              <w:rPr>
                <w:noProof/>
                <w:webHidden/>
              </w:rPr>
              <w:fldChar w:fldCharType="begin"/>
            </w:r>
            <w:r w:rsidR="004D286D">
              <w:rPr>
                <w:noProof/>
                <w:webHidden/>
              </w:rPr>
              <w:instrText xml:space="preserve"> PAGEREF _Toc150417370 \h </w:instrText>
            </w:r>
            <w:r w:rsidR="004D286D">
              <w:rPr>
                <w:noProof/>
                <w:webHidden/>
              </w:rPr>
            </w:r>
            <w:r w:rsidR="004D286D">
              <w:rPr>
                <w:noProof/>
                <w:webHidden/>
              </w:rPr>
              <w:fldChar w:fldCharType="separate"/>
            </w:r>
            <w:r w:rsidR="001A1A35">
              <w:rPr>
                <w:noProof/>
                <w:webHidden/>
              </w:rPr>
              <w:t>20</w:t>
            </w:r>
            <w:r w:rsidR="004D286D">
              <w:rPr>
                <w:noProof/>
                <w:webHidden/>
              </w:rPr>
              <w:fldChar w:fldCharType="end"/>
            </w:r>
          </w:hyperlink>
        </w:p>
        <w:p w14:paraId="33A807BA" w14:textId="6C4E2CE4" w:rsidR="004D286D" w:rsidRDefault="00000000">
          <w:pPr>
            <w:pStyle w:val="TOC2"/>
            <w:rPr>
              <w:rFonts w:asciiTheme="minorHAnsi" w:eastAsiaTheme="minorEastAsia" w:hAnsiTheme="minorHAnsi" w:cstheme="minorBidi"/>
              <w:bCs w:val="0"/>
              <w:iCs w:val="0"/>
              <w:noProof/>
              <w:color w:val="auto"/>
              <w:sz w:val="22"/>
              <w:szCs w:val="22"/>
            </w:rPr>
          </w:pPr>
          <w:hyperlink w:anchor="_Toc150417371" w:history="1">
            <w:r w:rsidR="004D286D" w:rsidRPr="000F3A69">
              <w:rPr>
                <w:rStyle w:val="Hyperlink"/>
                <w:noProof/>
              </w:rPr>
              <w:t>Screening for Services</w:t>
            </w:r>
            <w:r w:rsidR="004D286D">
              <w:rPr>
                <w:noProof/>
                <w:webHidden/>
              </w:rPr>
              <w:tab/>
            </w:r>
            <w:r w:rsidR="004D286D">
              <w:rPr>
                <w:noProof/>
                <w:webHidden/>
              </w:rPr>
              <w:fldChar w:fldCharType="begin"/>
            </w:r>
            <w:r w:rsidR="004D286D">
              <w:rPr>
                <w:noProof/>
                <w:webHidden/>
              </w:rPr>
              <w:instrText xml:space="preserve"> PAGEREF _Toc150417371 \h </w:instrText>
            </w:r>
            <w:r w:rsidR="004D286D">
              <w:rPr>
                <w:noProof/>
                <w:webHidden/>
              </w:rPr>
            </w:r>
            <w:r w:rsidR="004D286D">
              <w:rPr>
                <w:noProof/>
                <w:webHidden/>
              </w:rPr>
              <w:fldChar w:fldCharType="separate"/>
            </w:r>
            <w:r w:rsidR="001A1A35">
              <w:rPr>
                <w:noProof/>
                <w:webHidden/>
              </w:rPr>
              <w:t>20</w:t>
            </w:r>
            <w:r w:rsidR="004D286D">
              <w:rPr>
                <w:noProof/>
                <w:webHidden/>
              </w:rPr>
              <w:fldChar w:fldCharType="end"/>
            </w:r>
          </w:hyperlink>
        </w:p>
        <w:p w14:paraId="503D4708" w14:textId="0FBCCC3D" w:rsidR="004D286D" w:rsidRDefault="00000000">
          <w:pPr>
            <w:pStyle w:val="TOC2"/>
            <w:rPr>
              <w:rFonts w:asciiTheme="minorHAnsi" w:eastAsiaTheme="minorEastAsia" w:hAnsiTheme="minorHAnsi" w:cstheme="minorBidi"/>
              <w:bCs w:val="0"/>
              <w:iCs w:val="0"/>
              <w:noProof/>
              <w:color w:val="auto"/>
              <w:sz w:val="22"/>
              <w:szCs w:val="22"/>
            </w:rPr>
          </w:pPr>
          <w:hyperlink w:anchor="_Toc150417372" w:history="1">
            <w:r w:rsidR="004D286D" w:rsidRPr="000F3A69">
              <w:rPr>
                <w:rStyle w:val="Hyperlink"/>
                <w:noProof/>
              </w:rPr>
              <w:t>Service Delivery</w:t>
            </w:r>
            <w:r w:rsidR="004D286D">
              <w:rPr>
                <w:noProof/>
                <w:webHidden/>
              </w:rPr>
              <w:tab/>
            </w:r>
            <w:r w:rsidR="004D286D">
              <w:rPr>
                <w:noProof/>
                <w:webHidden/>
              </w:rPr>
              <w:fldChar w:fldCharType="begin"/>
            </w:r>
            <w:r w:rsidR="004D286D">
              <w:rPr>
                <w:noProof/>
                <w:webHidden/>
              </w:rPr>
              <w:instrText xml:space="preserve"> PAGEREF _Toc150417372 \h </w:instrText>
            </w:r>
            <w:r w:rsidR="004D286D">
              <w:rPr>
                <w:noProof/>
                <w:webHidden/>
              </w:rPr>
            </w:r>
            <w:r w:rsidR="004D286D">
              <w:rPr>
                <w:noProof/>
                <w:webHidden/>
              </w:rPr>
              <w:fldChar w:fldCharType="separate"/>
            </w:r>
            <w:r w:rsidR="001A1A35">
              <w:rPr>
                <w:noProof/>
                <w:webHidden/>
              </w:rPr>
              <w:t>21</w:t>
            </w:r>
            <w:r w:rsidR="004D286D">
              <w:rPr>
                <w:noProof/>
                <w:webHidden/>
              </w:rPr>
              <w:fldChar w:fldCharType="end"/>
            </w:r>
          </w:hyperlink>
        </w:p>
        <w:p w14:paraId="59DADD4A" w14:textId="246E8804" w:rsidR="004D286D" w:rsidRDefault="00000000">
          <w:pPr>
            <w:pStyle w:val="TOC2"/>
            <w:rPr>
              <w:rFonts w:asciiTheme="minorHAnsi" w:eastAsiaTheme="minorEastAsia" w:hAnsiTheme="minorHAnsi" w:cstheme="minorBidi"/>
              <w:bCs w:val="0"/>
              <w:iCs w:val="0"/>
              <w:noProof/>
              <w:color w:val="auto"/>
              <w:sz w:val="22"/>
              <w:szCs w:val="22"/>
            </w:rPr>
          </w:pPr>
          <w:hyperlink w:anchor="_Toc150417373" w:history="1">
            <w:r w:rsidR="004D286D" w:rsidRPr="000F3A69">
              <w:rPr>
                <w:rStyle w:val="Hyperlink"/>
                <w:noProof/>
              </w:rPr>
              <w:t>Technology and Data Exchange</w:t>
            </w:r>
            <w:r w:rsidR="004D286D">
              <w:rPr>
                <w:noProof/>
                <w:webHidden/>
              </w:rPr>
              <w:tab/>
            </w:r>
            <w:r w:rsidR="004D286D">
              <w:rPr>
                <w:noProof/>
                <w:webHidden/>
              </w:rPr>
              <w:fldChar w:fldCharType="begin"/>
            </w:r>
            <w:r w:rsidR="004D286D">
              <w:rPr>
                <w:noProof/>
                <w:webHidden/>
              </w:rPr>
              <w:instrText xml:space="preserve"> PAGEREF _Toc150417373 \h </w:instrText>
            </w:r>
            <w:r w:rsidR="004D286D">
              <w:rPr>
                <w:noProof/>
                <w:webHidden/>
              </w:rPr>
            </w:r>
            <w:r w:rsidR="004D286D">
              <w:rPr>
                <w:noProof/>
                <w:webHidden/>
              </w:rPr>
              <w:fldChar w:fldCharType="separate"/>
            </w:r>
            <w:r w:rsidR="001A1A35">
              <w:rPr>
                <w:noProof/>
                <w:webHidden/>
              </w:rPr>
              <w:t>21</w:t>
            </w:r>
            <w:r w:rsidR="004D286D">
              <w:rPr>
                <w:noProof/>
                <w:webHidden/>
              </w:rPr>
              <w:fldChar w:fldCharType="end"/>
            </w:r>
          </w:hyperlink>
        </w:p>
        <w:p w14:paraId="3C68427D" w14:textId="167DB4A0" w:rsidR="004D286D" w:rsidRDefault="00000000">
          <w:pPr>
            <w:pStyle w:val="TOC2"/>
            <w:rPr>
              <w:rFonts w:asciiTheme="minorHAnsi" w:eastAsiaTheme="minorEastAsia" w:hAnsiTheme="minorHAnsi" w:cstheme="minorBidi"/>
              <w:bCs w:val="0"/>
              <w:iCs w:val="0"/>
              <w:noProof/>
              <w:color w:val="auto"/>
              <w:sz w:val="22"/>
              <w:szCs w:val="22"/>
            </w:rPr>
          </w:pPr>
          <w:hyperlink w:anchor="_Toc150417374" w:history="1">
            <w:r w:rsidR="004D286D" w:rsidRPr="000F3A69">
              <w:rPr>
                <w:rStyle w:val="Hyperlink"/>
                <w:noProof/>
              </w:rPr>
              <w:t>Readiness Review</w:t>
            </w:r>
            <w:r w:rsidR="004D286D">
              <w:rPr>
                <w:noProof/>
                <w:webHidden/>
              </w:rPr>
              <w:tab/>
            </w:r>
            <w:r w:rsidR="004D286D">
              <w:rPr>
                <w:noProof/>
                <w:webHidden/>
              </w:rPr>
              <w:fldChar w:fldCharType="begin"/>
            </w:r>
            <w:r w:rsidR="004D286D">
              <w:rPr>
                <w:noProof/>
                <w:webHidden/>
              </w:rPr>
              <w:instrText xml:space="preserve"> PAGEREF _Toc150417374 \h </w:instrText>
            </w:r>
            <w:r w:rsidR="004D286D">
              <w:rPr>
                <w:noProof/>
                <w:webHidden/>
              </w:rPr>
            </w:r>
            <w:r w:rsidR="004D286D">
              <w:rPr>
                <w:noProof/>
                <w:webHidden/>
              </w:rPr>
              <w:fldChar w:fldCharType="separate"/>
            </w:r>
            <w:r w:rsidR="001A1A35">
              <w:rPr>
                <w:noProof/>
                <w:webHidden/>
              </w:rPr>
              <w:t>21</w:t>
            </w:r>
            <w:r w:rsidR="004D286D">
              <w:rPr>
                <w:noProof/>
                <w:webHidden/>
              </w:rPr>
              <w:fldChar w:fldCharType="end"/>
            </w:r>
          </w:hyperlink>
        </w:p>
        <w:p w14:paraId="06CB90C0" w14:textId="2E30964C" w:rsidR="004D286D" w:rsidRDefault="00000000">
          <w:pPr>
            <w:pStyle w:val="TOC1"/>
            <w:rPr>
              <w:rFonts w:asciiTheme="minorHAnsi" w:eastAsiaTheme="minorEastAsia" w:hAnsiTheme="minorHAnsi" w:cstheme="minorBidi"/>
              <w:b w:val="0"/>
              <w:noProof/>
              <w:color w:val="auto"/>
              <w:sz w:val="22"/>
              <w:szCs w:val="22"/>
            </w:rPr>
          </w:pPr>
          <w:hyperlink w:anchor="_Toc150417375" w:history="1">
            <w:r w:rsidR="004D286D" w:rsidRPr="000F3A69">
              <w:rPr>
                <w:rStyle w:val="Hyperlink"/>
                <w:noProof/>
                <w:u w:color="000000"/>
              </w:rPr>
              <w:t xml:space="preserve">Section </w:t>
            </w:r>
            <w:r w:rsidR="004D286D" w:rsidRPr="000F3A69">
              <w:rPr>
                <w:rStyle w:val="Hyperlink"/>
                <w:noProof/>
                <w:spacing w:val="-4"/>
                <w:u w:color="000000"/>
              </w:rPr>
              <w:t>VI</w:t>
            </w:r>
            <w:r w:rsidR="004D286D" w:rsidRPr="000F3A69">
              <w:rPr>
                <w:rStyle w:val="Hyperlink"/>
                <w:noProof/>
                <w:spacing w:val="1"/>
                <w:u w:color="000000"/>
              </w:rPr>
              <w:t xml:space="preserve"> </w:t>
            </w:r>
            <w:r w:rsidR="004D286D" w:rsidRPr="000F3A69">
              <w:rPr>
                <w:rStyle w:val="Hyperlink"/>
                <w:noProof/>
                <w:u w:color="000000"/>
              </w:rPr>
              <w:t>– Demonstration</w:t>
            </w:r>
            <w:r w:rsidR="004D286D" w:rsidRPr="000F3A69">
              <w:rPr>
                <w:rStyle w:val="Hyperlink"/>
                <w:noProof/>
                <w:spacing w:val="-5"/>
                <w:u w:color="000000"/>
              </w:rPr>
              <w:t xml:space="preserve"> </w:t>
            </w:r>
            <w:r w:rsidR="004D286D" w:rsidRPr="000F3A69">
              <w:rPr>
                <w:rStyle w:val="Hyperlink"/>
                <w:noProof/>
                <w:spacing w:val="-2"/>
                <w:u w:color="000000"/>
              </w:rPr>
              <w:t>Financing</w:t>
            </w:r>
            <w:r w:rsidR="004D286D" w:rsidRPr="000F3A69">
              <w:rPr>
                <w:rStyle w:val="Hyperlink"/>
                <w:noProof/>
                <w:u w:color="000000"/>
              </w:rPr>
              <w:t xml:space="preserve"> and Budget</w:t>
            </w:r>
            <w:r w:rsidR="004D286D" w:rsidRPr="000F3A69">
              <w:rPr>
                <w:rStyle w:val="Hyperlink"/>
                <w:noProof/>
                <w:spacing w:val="-3"/>
                <w:u w:color="000000"/>
              </w:rPr>
              <w:t xml:space="preserve"> </w:t>
            </w:r>
            <w:r w:rsidR="004D286D" w:rsidRPr="000F3A69">
              <w:rPr>
                <w:rStyle w:val="Hyperlink"/>
                <w:noProof/>
                <w:spacing w:val="-2"/>
                <w:u w:color="000000"/>
              </w:rPr>
              <w:t>Neutrality</w:t>
            </w:r>
            <w:r w:rsidR="004D286D">
              <w:rPr>
                <w:noProof/>
                <w:webHidden/>
              </w:rPr>
              <w:tab/>
            </w:r>
            <w:r w:rsidR="004D286D">
              <w:rPr>
                <w:noProof/>
                <w:webHidden/>
              </w:rPr>
              <w:fldChar w:fldCharType="begin"/>
            </w:r>
            <w:r w:rsidR="004D286D">
              <w:rPr>
                <w:noProof/>
                <w:webHidden/>
              </w:rPr>
              <w:instrText xml:space="preserve"> PAGEREF _Toc150417375 \h </w:instrText>
            </w:r>
            <w:r w:rsidR="004D286D">
              <w:rPr>
                <w:noProof/>
                <w:webHidden/>
              </w:rPr>
            </w:r>
            <w:r w:rsidR="004D286D">
              <w:rPr>
                <w:noProof/>
                <w:webHidden/>
              </w:rPr>
              <w:fldChar w:fldCharType="separate"/>
            </w:r>
            <w:r w:rsidR="001A1A35">
              <w:rPr>
                <w:noProof/>
                <w:webHidden/>
              </w:rPr>
              <w:t>22</w:t>
            </w:r>
            <w:r w:rsidR="004D286D">
              <w:rPr>
                <w:noProof/>
                <w:webHidden/>
              </w:rPr>
              <w:fldChar w:fldCharType="end"/>
            </w:r>
          </w:hyperlink>
        </w:p>
        <w:p w14:paraId="4A7CD956" w14:textId="15CA5FE3" w:rsidR="004D286D" w:rsidRDefault="00000000">
          <w:pPr>
            <w:pStyle w:val="TOC2"/>
            <w:rPr>
              <w:rFonts w:asciiTheme="minorHAnsi" w:eastAsiaTheme="minorEastAsia" w:hAnsiTheme="minorHAnsi" w:cstheme="minorBidi"/>
              <w:bCs w:val="0"/>
              <w:iCs w:val="0"/>
              <w:noProof/>
              <w:color w:val="auto"/>
              <w:sz w:val="22"/>
              <w:szCs w:val="22"/>
            </w:rPr>
          </w:pPr>
          <w:hyperlink w:anchor="_Toc150417376" w:history="1">
            <w:r w:rsidR="004D286D" w:rsidRPr="000F3A69">
              <w:rPr>
                <w:rStyle w:val="Hyperlink"/>
                <w:noProof/>
              </w:rPr>
              <w:t>Budget Neutrality</w:t>
            </w:r>
            <w:r w:rsidR="004D286D">
              <w:rPr>
                <w:noProof/>
                <w:webHidden/>
              </w:rPr>
              <w:tab/>
            </w:r>
            <w:r w:rsidR="004D286D">
              <w:rPr>
                <w:noProof/>
                <w:webHidden/>
              </w:rPr>
              <w:fldChar w:fldCharType="begin"/>
            </w:r>
            <w:r w:rsidR="004D286D">
              <w:rPr>
                <w:noProof/>
                <w:webHidden/>
              </w:rPr>
              <w:instrText xml:space="preserve"> PAGEREF _Toc150417376 \h </w:instrText>
            </w:r>
            <w:r w:rsidR="004D286D">
              <w:rPr>
                <w:noProof/>
                <w:webHidden/>
              </w:rPr>
            </w:r>
            <w:r w:rsidR="004D286D">
              <w:rPr>
                <w:noProof/>
                <w:webHidden/>
              </w:rPr>
              <w:fldChar w:fldCharType="separate"/>
            </w:r>
            <w:r w:rsidR="001A1A35">
              <w:rPr>
                <w:noProof/>
                <w:webHidden/>
              </w:rPr>
              <w:t>22</w:t>
            </w:r>
            <w:r w:rsidR="004D286D">
              <w:rPr>
                <w:noProof/>
                <w:webHidden/>
              </w:rPr>
              <w:fldChar w:fldCharType="end"/>
            </w:r>
          </w:hyperlink>
        </w:p>
        <w:p w14:paraId="32AA8BF0" w14:textId="51C7E54A"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77" w:history="1">
            <w:r w:rsidR="004D286D" w:rsidRPr="000F3A69">
              <w:rPr>
                <w:rStyle w:val="Hyperlink"/>
                <w:noProof/>
              </w:rPr>
              <w:t>Demonstration Population 1: Reentry Adult Population (i.e., Incarcerated Adults and BHCDP Participant Demonstration Eligibility Groups)</w:t>
            </w:r>
            <w:r w:rsidR="004D286D">
              <w:rPr>
                <w:noProof/>
                <w:webHidden/>
              </w:rPr>
              <w:tab/>
            </w:r>
            <w:r w:rsidR="004D286D">
              <w:rPr>
                <w:noProof/>
                <w:webHidden/>
              </w:rPr>
              <w:fldChar w:fldCharType="begin"/>
            </w:r>
            <w:r w:rsidR="004D286D">
              <w:rPr>
                <w:noProof/>
                <w:webHidden/>
              </w:rPr>
              <w:instrText xml:space="preserve"> PAGEREF _Toc150417377 \h </w:instrText>
            </w:r>
            <w:r w:rsidR="004D286D">
              <w:rPr>
                <w:noProof/>
                <w:webHidden/>
              </w:rPr>
            </w:r>
            <w:r w:rsidR="004D286D">
              <w:rPr>
                <w:noProof/>
                <w:webHidden/>
              </w:rPr>
              <w:fldChar w:fldCharType="separate"/>
            </w:r>
            <w:r w:rsidR="001A1A35">
              <w:rPr>
                <w:noProof/>
                <w:webHidden/>
              </w:rPr>
              <w:t>22</w:t>
            </w:r>
            <w:r w:rsidR="004D286D">
              <w:rPr>
                <w:noProof/>
                <w:webHidden/>
              </w:rPr>
              <w:fldChar w:fldCharType="end"/>
            </w:r>
          </w:hyperlink>
        </w:p>
        <w:p w14:paraId="53C74BE8" w14:textId="2442561B"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78" w:history="1">
            <w:r w:rsidR="004D286D" w:rsidRPr="000F3A69">
              <w:rPr>
                <w:rStyle w:val="Hyperlink"/>
                <w:noProof/>
              </w:rPr>
              <w:t>Demonstration Population 2: Reentry Juvenile Population (i.e., YDC-Placed Youth Eligibility Group)</w:t>
            </w:r>
            <w:r w:rsidR="004D286D">
              <w:rPr>
                <w:noProof/>
                <w:webHidden/>
              </w:rPr>
              <w:tab/>
            </w:r>
            <w:r w:rsidR="004D286D">
              <w:rPr>
                <w:noProof/>
                <w:webHidden/>
              </w:rPr>
              <w:fldChar w:fldCharType="begin"/>
            </w:r>
            <w:r w:rsidR="004D286D">
              <w:rPr>
                <w:noProof/>
                <w:webHidden/>
              </w:rPr>
              <w:instrText xml:space="preserve"> PAGEREF _Toc150417378 \h </w:instrText>
            </w:r>
            <w:r w:rsidR="004D286D">
              <w:rPr>
                <w:noProof/>
                <w:webHidden/>
              </w:rPr>
            </w:r>
            <w:r w:rsidR="004D286D">
              <w:rPr>
                <w:noProof/>
                <w:webHidden/>
              </w:rPr>
              <w:fldChar w:fldCharType="separate"/>
            </w:r>
            <w:r w:rsidR="001A1A35">
              <w:rPr>
                <w:noProof/>
                <w:webHidden/>
              </w:rPr>
              <w:t>23</w:t>
            </w:r>
            <w:r w:rsidR="004D286D">
              <w:rPr>
                <w:noProof/>
                <w:webHidden/>
              </w:rPr>
              <w:fldChar w:fldCharType="end"/>
            </w:r>
          </w:hyperlink>
        </w:p>
        <w:p w14:paraId="1FB7D554" w14:textId="0CBAF5EA" w:rsidR="004D286D" w:rsidRDefault="00000000">
          <w:pPr>
            <w:pStyle w:val="TOC3"/>
            <w:tabs>
              <w:tab w:val="right" w:leader="dot" w:pos="9350"/>
            </w:tabs>
            <w:rPr>
              <w:rFonts w:asciiTheme="minorHAnsi" w:eastAsiaTheme="minorEastAsia" w:hAnsiTheme="minorHAnsi" w:cstheme="minorBidi"/>
              <w:noProof/>
              <w:sz w:val="22"/>
              <w:szCs w:val="22"/>
            </w:rPr>
          </w:pPr>
          <w:hyperlink w:anchor="_Toc150417379" w:history="1">
            <w:r w:rsidR="004D286D" w:rsidRPr="000F3A69">
              <w:rPr>
                <w:rStyle w:val="Hyperlink"/>
                <w:noProof/>
              </w:rPr>
              <w:t>Budget Neutrality and Fiscal Summary</w:t>
            </w:r>
            <w:r w:rsidR="004D286D">
              <w:rPr>
                <w:noProof/>
                <w:webHidden/>
              </w:rPr>
              <w:tab/>
            </w:r>
            <w:r w:rsidR="004D286D">
              <w:rPr>
                <w:noProof/>
                <w:webHidden/>
              </w:rPr>
              <w:fldChar w:fldCharType="begin"/>
            </w:r>
            <w:r w:rsidR="004D286D">
              <w:rPr>
                <w:noProof/>
                <w:webHidden/>
              </w:rPr>
              <w:instrText xml:space="preserve"> PAGEREF _Toc150417379 \h </w:instrText>
            </w:r>
            <w:r w:rsidR="004D286D">
              <w:rPr>
                <w:noProof/>
                <w:webHidden/>
              </w:rPr>
            </w:r>
            <w:r w:rsidR="004D286D">
              <w:rPr>
                <w:noProof/>
                <w:webHidden/>
              </w:rPr>
              <w:fldChar w:fldCharType="separate"/>
            </w:r>
            <w:r w:rsidR="001A1A35">
              <w:rPr>
                <w:noProof/>
                <w:webHidden/>
              </w:rPr>
              <w:t>23</w:t>
            </w:r>
            <w:r w:rsidR="004D286D">
              <w:rPr>
                <w:noProof/>
                <w:webHidden/>
              </w:rPr>
              <w:fldChar w:fldCharType="end"/>
            </w:r>
          </w:hyperlink>
        </w:p>
        <w:p w14:paraId="6A7FCD62" w14:textId="61B04990" w:rsidR="004D286D" w:rsidRDefault="00000000">
          <w:pPr>
            <w:pStyle w:val="TOC2"/>
            <w:rPr>
              <w:rFonts w:asciiTheme="minorHAnsi" w:eastAsiaTheme="minorEastAsia" w:hAnsiTheme="minorHAnsi" w:cstheme="minorBidi"/>
              <w:bCs w:val="0"/>
              <w:iCs w:val="0"/>
              <w:noProof/>
              <w:color w:val="auto"/>
              <w:sz w:val="22"/>
              <w:szCs w:val="22"/>
            </w:rPr>
          </w:pPr>
          <w:hyperlink w:anchor="_Toc150417380" w:history="1">
            <w:r w:rsidR="004D286D" w:rsidRPr="000F3A69">
              <w:rPr>
                <w:rStyle w:val="Hyperlink"/>
                <w:noProof/>
              </w:rPr>
              <w:t>Reinvestment Plan</w:t>
            </w:r>
            <w:r w:rsidR="004D286D">
              <w:rPr>
                <w:noProof/>
                <w:webHidden/>
              </w:rPr>
              <w:tab/>
            </w:r>
            <w:r w:rsidR="004D286D">
              <w:rPr>
                <w:noProof/>
                <w:webHidden/>
              </w:rPr>
              <w:fldChar w:fldCharType="begin"/>
            </w:r>
            <w:r w:rsidR="004D286D">
              <w:rPr>
                <w:noProof/>
                <w:webHidden/>
              </w:rPr>
              <w:instrText xml:space="preserve"> PAGEREF _Toc150417380 \h </w:instrText>
            </w:r>
            <w:r w:rsidR="004D286D">
              <w:rPr>
                <w:noProof/>
                <w:webHidden/>
              </w:rPr>
            </w:r>
            <w:r w:rsidR="004D286D">
              <w:rPr>
                <w:noProof/>
                <w:webHidden/>
              </w:rPr>
              <w:fldChar w:fldCharType="separate"/>
            </w:r>
            <w:r w:rsidR="001A1A35">
              <w:rPr>
                <w:noProof/>
                <w:webHidden/>
              </w:rPr>
              <w:t>24</w:t>
            </w:r>
            <w:r w:rsidR="004D286D">
              <w:rPr>
                <w:noProof/>
                <w:webHidden/>
              </w:rPr>
              <w:fldChar w:fldCharType="end"/>
            </w:r>
          </w:hyperlink>
        </w:p>
        <w:p w14:paraId="43F70896" w14:textId="67E2BB0A" w:rsidR="004D286D" w:rsidRDefault="00000000">
          <w:pPr>
            <w:pStyle w:val="TOC2"/>
            <w:rPr>
              <w:rFonts w:asciiTheme="minorHAnsi" w:eastAsiaTheme="minorEastAsia" w:hAnsiTheme="minorHAnsi" w:cstheme="minorBidi"/>
              <w:bCs w:val="0"/>
              <w:iCs w:val="0"/>
              <w:noProof/>
              <w:color w:val="auto"/>
              <w:sz w:val="22"/>
              <w:szCs w:val="22"/>
            </w:rPr>
          </w:pPr>
          <w:hyperlink w:anchor="_Toc150417381" w:history="1">
            <w:r w:rsidR="004D286D" w:rsidRPr="000F3A69">
              <w:rPr>
                <w:rStyle w:val="Hyperlink"/>
                <w:noProof/>
              </w:rPr>
              <w:t>Non-Service Expenditures</w:t>
            </w:r>
            <w:r w:rsidR="004D286D">
              <w:rPr>
                <w:noProof/>
                <w:webHidden/>
              </w:rPr>
              <w:tab/>
            </w:r>
            <w:r w:rsidR="004D286D">
              <w:rPr>
                <w:noProof/>
                <w:webHidden/>
              </w:rPr>
              <w:fldChar w:fldCharType="begin"/>
            </w:r>
            <w:r w:rsidR="004D286D">
              <w:rPr>
                <w:noProof/>
                <w:webHidden/>
              </w:rPr>
              <w:instrText xml:space="preserve"> PAGEREF _Toc150417381 \h </w:instrText>
            </w:r>
            <w:r w:rsidR="004D286D">
              <w:rPr>
                <w:noProof/>
                <w:webHidden/>
              </w:rPr>
            </w:r>
            <w:r w:rsidR="004D286D">
              <w:rPr>
                <w:noProof/>
                <w:webHidden/>
              </w:rPr>
              <w:fldChar w:fldCharType="separate"/>
            </w:r>
            <w:r w:rsidR="001A1A35">
              <w:rPr>
                <w:noProof/>
                <w:webHidden/>
              </w:rPr>
              <w:t>24</w:t>
            </w:r>
            <w:r w:rsidR="004D286D">
              <w:rPr>
                <w:noProof/>
                <w:webHidden/>
              </w:rPr>
              <w:fldChar w:fldCharType="end"/>
            </w:r>
          </w:hyperlink>
        </w:p>
        <w:p w14:paraId="7711301D" w14:textId="0C59C7B7" w:rsidR="004D286D" w:rsidRDefault="00000000">
          <w:pPr>
            <w:pStyle w:val="TOC1"/>
            <w:rPr>
              <w:rFonts w:asciiTheme="minorHAnsi" w:eastAsiaTheme="minorEastAsia" w:hAnsiTheme="minorHAnsi" w:cstheme="minorBidi"/>
              <w:b w:val="0"/>
              <w:noProof/>
              <w:color w:val="auto"/>
              <w:sz w:val="22"/>
              <w:szCs w:val="22"/>
            </w:rPr>
          </w:pPr>
          <w:hyperlink w:anchor="_Toc150417382" w:history="1">
            <w:r w:rsidR="004D286D" w:rsidRPr="000F3A69">
              <w:rPr>
                <w:rStyle w:val="Hyperlink"/>
                <w:noProof/>
                <w:u w:color="000000"/>
              </w:rPr>
              <w:t xml:space="preserve">Section </w:t>
            </w:r>
            <w:r w:rsidR="004D286D" w:rsidRPr="000F3A69">
              <w:rPr>
                <w:rStyle w:val="Hyperlink"/>
                <w:noProof/>
                <w:spacing w:val="-2"/>
                <w:u w:color="000000"/>
              </w:rPr>
              <w:t>VII</w:t>
            </w:r>
            <w:r w:rsidR="004D286D" w:rsidRPr="000F3A69">
              <w:rPr>
                <w:rStyle w:val="Hyperlink"/>
                <w:noProof/>
                <w:u w:color="000000"/>
              </w:rPr>
              <w:t xml:space="preserve"> – List</w:t>
            </w:r>
            <w:r w:rsidR="004D286D" w:rsidRPr="000F3A69">
              <w:rPr>
                <w:rStyle w:val="Hyperlink"/>
                <w:noProof/>
                <w:spacing w:val="-3"/>
                <w:u w:color="000000"/>
              </w:rPr>
              <w:t xml:space="preserve"> </w:t>
            </w:r>
            <w:r w:rsidR="004D286D" w:rsidRPr="000F3A69">
              <w:rPr>
                <w:rStyle w:val="Hyperlink"/>
                <w:noProof/>
                <w:spacing w:val="1"/>
                <w:u w:color="000000"/>
              </w:rPr>
              <w:t>of</w:t>
            </w:r>
            <w:r w:rsidR="004D286D" w:rsidRPr="000F3A69">
              <w:rPr>
                <w:rStyle w:val="Hyperlink"/>
                <w:noProof/>
                <w:spacing w:val="-9"/>
                <w:u w:color="000000"/>
              </w:rPr>
              <w:t xml:space="preserve"> </w:t>
            </w:r>
            <w:r w:rsidR="004D286D" w:rsidRPr="000F3A69">
              <w:rPr>
                <w:rStyle w:val="Hyperlink"/>
                <w:noProof/>
                <w:u w:color="000000"/>
              </w:rPr>
              <w:t>Proposed</w:t>
            </w:r>
            <w:r w:rsidR="004D286D" w:rsidRPr="000F3A69">
              <w:rPr>
                <w:rStyle w:val="Hyperlink"/>
                <w:noProof/>
                <w:spacing w:val="-4"/>
                <w:u w:color="000000"/>
              </w:rPr>
              <w:t xml:space="preserve"> </w:t>
            </w:r>
            <w:r w:rsidR="004D286D" w:rsidRPr="000F3A69">
              <w:rPr>
                <w:rStyle w:val="Hyperlink"/>
                <w:noProof/>
                <w:spacing w:val="-2"/>
                <w:u w:color="000000"/>
              </w:rPr>
              <w:t>Waivers</w:t>
            </w:r>
            <w:r w:rsidR="004D286D" w:rsidRPr="000F3A69">
              <w:rPr>
                <w:rStyle w:val="Hyperlink"/>
                <w:noProof/>
                <w:u w:color="000000"/>
              </w:rPr>
              <w:t xml:space="preserve"> and Expenditure </w:t>
            </w:r>
            <w:r w:rsidR="004D286D" w:rsidRPr="000F3A69">
              <w:rPr>
                <w:rStyle w:val="Hyperlink"/>
                <w:noProof/>
                <w:spacing w:val="-2"/>
                <w:u w:color="000000"/>
              </w:rPr>
              <w:t>Authorities</w:t>
            </w:r>
            <w:r w:rsidR="004D286D">
              <w:rPr>
                <w:noProof/>
                <w:webHidden/>
              </w:rPr>
              <w:tab/>
            </w:r>
            <w:r w:rsidR="004D286D">
              <w:rPr>
                <w:noProof/>
                <w:webHidden/>
              </w:rPr>
              <w:fldChar w:fldCharType="begin"/>
            </w:r>
            <w:r w:rsidR="004D286D">
              <w:rPr>
                <w:noProof/>
                <w:webHidden/>
              </w:rPr>
              <w:instrText xml:space="preserve"> PAGEREF _Toc150417382 \h </w:instrText>
            </w:r>
            <w:r w:rsidR="004D286D">
              <w:rPr>
                <w:noProof/>
                <w:webHidden/>
              </w:rPr>
            </w:r>
            <w:r w:rsidR="004D286D">
              <w:rPr>
                <w:noProof/>
                <w:webHidden/>
              </w:rPr>
              <w:fldChar w:fldCharType="separate"/>
            </w:r>
            <w:r w:rsidR="001A1A35">
              <w:rPr>
                <w:noProof/>
                <w:webHidden/>
              </w:rPr>
              <w:t>25</w:t>
            </w:r>
            <w:r w:rsidR="004D286D">
              <w:rPr>
                <w:noProof/>
                <w:webHidden/>
              </w:rPr>
              <w:fldChar w:fldCharType="end"/>
            </w:r>
          </w:hyperlink>
        </w:p>
        <w:p w14:paraId="696FCFA1" w14:textId="63567B91" w:rsidR="004D286D" w:rsidRDefault="00000000">
          <w:pPr>
            <w:pStyle w:val="TOC1"/>
            <w:rPr>
              <w:rFonts w:asciiTheme="minorHAnsi" w:eastAsiaTheme="minorEastAsia" w:hAnsiTheme="minorHAnsi" w:cstheme="minorBidi"/>
              <w:b w:val="0"/>
              <w:noProof/>
              <w:color w:val="auto"/>
              <w:sz w:val="22"/>
              <w:szCs w:val="22"/>
            </w:rPr>
          </w:pPr>
          <w:hyperlink w:anchor="_Toc150417383" w:history="1">
            <w:r w:rsidR="004D286D" w:rsidRPr="000F3A69">
              <w:rPr>
                <w:rStyle w:val="Hyperlink"/>
                <w:noProof/>
                <w:u w:color="000000"/>
              </w:rPr>
              <w:t xml:space="preserve">Section </w:t>
            </w:r>
            <w:r w:rsidR="004D286D" w:rsidRPr="000F3A69">
              <w:rPr>
                <w:rStyle w:val="Hyperlink"/>
                <w:noProof/>
                <w:spacing w:val="-2"/>
                <w:u w:color="000000"/>
              </w:rPr>
              <w:t>VIII</w:t>
            </w:r>
            <w:r w:rsidR="004D286D" w:rsidRPr="000F3A69">
              <w:rPr>
                <w:rStyle w:val="Hyperlink"/>
                <w:noProof/>
                <w:spacing w:val="-5"/>
                <w:u w:color="000000"/>
              </w:rPr>
              <w:t xml:space="preserve"> </w:t>
            </w:r>
            <w:r w:rsidR="004D286D" w:rsidRPr="000F3A69">
              <w:rPr>
                <w:rStyle w:val="Hyperlink"/>
                <w:noProof/>
                <w:u w:color="000000"/>
              </w:rPr>
              <w:t xml:space="preserve">– </w:t>
            </w:r>
            <w:r w:rsidR="004D286D" w:rsidRPr="000F3A69">
              <w:rPr>
                <w:rStyle w:val="Hyperlink"/>
                <w:noProof/>
                <w:spacing w:val="-2"/>
                <w:u w:color="000000"/>
              </w:rPr>
              <w:t>Public</w:t>
            </w:r>
            <w:r w:rsidR="004D286D" w:rsidRPr="000F3A69">
              <w:rPr>
                <w:rStyle w:val="Hyperlink"/>
                <w:noProof/>
                <w:u w:color="000000"/>
              </w:rPr>
              <w:t xml:space="preserve"> Notice</w:t>
            </w:r>
            <w:r w:rsidR="004D286D">
              <w:rPr>
                <w:noProof/>
                <w:webHidden/>
              </w:rPr>
              <w:tab/>
            </w:r>
            <w:r w:rsidR="004D286D">
              <w:rPr>
                <w:noProof/>
                <w:webHidden/>
              </w:rPr>
              <w:fldChar w:fldCharType="begin"/>
            </w:r>
            <w:r w:rsidR="004D286D">
              <w:rPr>
                <w:noProof/>
                <w:webHidden/>
              </w:rPr>
              <w:instrText xml:space="preserve"> PAGEREF _Toc150417383 \h </w:instrText>
            </w:r>
            <w:r w:rsidR="004D286D">
              <w:rPr>
                <w:noProof/>
                <w:webHidden/>
              </w:rPr>
            </w:r>
            <w:r w:rsidR="004D286D">
              <w:rPr>
                <w:noProof/>
                <w:webHidden/>
              </w:rPr>
              <w:fldChar w:fldCharType="separate"/>
            </w:r>
            <w:r w:rsidR="001A1A35">
              <w:rPr>
                <w:noProof/>
                <w:webHidden/>
              </w:rPr>
              <w:t>26</w:t>
            </w:r>
            <w:r w:rsidR="004D286D">
              <w:rPr>
                <w:noProof/>
                <w:webHidden/>
              </w:rPr>
              <w:fldChar w:fldCharType="end"/>
            </w:r>
          </w:hyperlink>
        </w:p>
        <w:p w14:paraId="017D4083" w14:textId="353B722E" w:rsidR="004D286D" w:rsidRDefault="00000000">
          <w:pPr>
            <w:pStyle w:val="TOC2"/>
            <w:rPr>
              <w:rFonts w:asciiTheme="minorHAnsi" w:eastAsiaTheme="minorEastAsia" w:hAnsiTheme="minorHAnsi" w:cstheme="minorBidi"/>
              <w:bCs w:val="0"/>
              <w:iCs w:val="0"/>
              <w:noProof/>
              <w:color w:val="auto"/>
              <w:sz w:val="22"/>
              <w:szCs w:val="22"/>
            </w:rPr>
          </w:pPr>
          <w:hyperlink w:anchor="_Toc150417384" w:history="1">
            <w:r w:rsidR="004D286D" w:rsidRPr="000F3A69">
              <w:rPr>
                <w:rStyle w:val="Hyperlink"/>
                <w:noProof/>
                <w:u w:color="000000"/>
              </w:rPr>
              <w:t>Tribal Notice</w:t>
            </w:r>
            <w:r w:rsidR="004D286D">
              <w:rPr>
                <w:noProof/>
                <w:webHidden/>
              </w:rPr>
              <w:tab/>
            </w:r>
            <w:r w:rsidR="004D286D">
              <w:rPr>
                <w:noProof/>
                <w:webHidden/>
              </w:rPr>
              <w:fldChar w:fldCharType="begin"/>
            </w:r>
            <w:r w:rsidR="004D286D">
              <w:rPr>
                <w:noProof/>
                <w:webHidden/>
              </w:rPr>
              <w:instrText xml:space="preserve"> PAGEREF _Toc150417384 \h </w:instrText>
            </w:r>
            <w:r w:rsidR="004D286D">
              <w:rPr>
                <w:noProof/>
                <w:webHidden/>
              </w:rPr>
            </w:r>
            <w:r w:rsidR="004D286D">
              <w:rPr>
                <w:noProof/>
                <w:webHidden/>
              </w:rPr>
              <w:fldChar w:fldCharType="separate"/>
            </w:r>
            <w:r w:rsidR="001A1A35">
              <w:rPr>
                <w:noProof/>
                <w:webHidden/>
              </w:rPr>
              <w:t>26</w:t>
            </w:r>
            <w:r w:rsidR="004D286D">
              <w:rPr>
                <w:noProof/>
                <w:webHidden/>
              </w:rPr>
              <w:fldChar w:fldCharType="end"/>
            </w:r>
          </w:hyperlink>
        </w:p>
        <w:p w14:paraId="3D20A015" w14:textId="1830EABF" w:rsidR="004D286D" w:rsidRDefault="00000000">
          <w:pPr>
            <w:pStyle w:val="TOC2"/>
            <w:rPr>
              <w:rFonts w:asciiTheme="minorHAnsi" w:eastAsiaTheme="minorEastAsia" w:hAnsiTheme="minorHAnsi" w:cstheme="minorBidi"/>
              <w:bCs w:val="0"/>
              <w:iCs w:val="0"/>
              <w:noProof/>
              <w:color w:val="auto"/>
              <w:sz w:val="22"/>
              <w:szCs w:val="22"/>
            </w:rPr>
          </w:pPr>
          <w:hyperlink w:anchor="_Toc150417385" w:history="1">
            <w:r w:rsidR="004D286D" w:rsidRPr="000F3A69">
              <w:rPr>
                <w:rStyle w:val="Hyperlink"/>
                <w:noProof/>
                <w:u w:color="000000"/>
              </w:rPr>
              <w:t>Public Notice</w:t>
            </w:r>
            <w:r w:rsidR="004D286D">
              <w:rPr>
                <w:noProof/>
                <w:webHidden/>
              </w:rPr>
              <w:tab/>
            </w:r>
            <w:r w:rsidR="004D286D">
              <w:rPr>
                <w:noProof/>
                <w:webHidden/>
              </w:rPr>
              <w:fldChar w:fldCharType="begin"/>
            </w:r>
            <w:r w:rsidR="004D286D">
              <w:rPr>
                <w:noProof/>
                <w:webHidden/>
              </w:rPr>
              <w:instrText xml:space="preserve"> PAGEREF _Toc150417385 \h </w:instrText>
            </w:r>
            <w:r w:rsidR="004D286D">
              <w:rPr>
                <w:noProof/>
                <w:webHidden/>
              </w:rPr>
            </w:r>
            <w:r w:rsidR="004D286D">
              <w:rPr>
                <w:noProof/>
                <w:webHidden/>
              </w:rPr>
              <w:fldChar w:fldCharType="separate"/>
            </w:r>
            <w:r w:rsidR="001A1A35">
              <w:rPr>
                <w:noProof/>
                <w:webHidden/>
              </w:rPr>
              <w:t>26</w:t>
            </w:r>
            <w:r w:rsidR="004D286D">
              <w:rPr>
                <w:noProof/>
                <w:webHidden/>
              </w:rPr>
              <w:fldChar w:fldCharType="end"/>
            </w:r>
          </w:hyperlink>
        </w:p>
        <w:p w14:paraId="27AA0BD7" w14:textId="50BF4354" w:rsidR="004D286D" w:rsidRDefault="00000000">
          <w:pPr>
            <w:pStyle w:val="TOC2"/>
            <w:rPr>
              <w:rFonts w:asciiTheme="minorHAnsi" w:eastAsiaTheme="minorEastAsia" w:hAnsiTheme="minorHAnsi" w:cstheme="minorBidi"/>
              <w:bCs w:val="0"/>
              <w:iCs w:val="0"/>
              <w:noProof/>
              <w:color w:val="auto"/>
              <w:sz w:val="22"/>
              <w:szCs w:val="22"/>
            </w:rPr>
          </w:pPr>
          <w:hyperlink w:anchor="_Toc150417386" w:history="1">
            <w:r w:rsidR="004D286D" w:rsidRPr="000F3A69">
              <w:rPr>
                <w:rStyle w:val="Hyperlink"/>
                <w:noProof/>
              </w:rPr>
              <w:t>Public Forums</w:t>
            </w:r>
            <w:r w:rsidR="004D286D">
              <w:rPr>
                <w:noProof/>
                <w:webHidden/>
              </w:rPr>
              <w:tab/>
            </w:r>
            <w:r w:rsidR="004D286D">
              <w:rPr>
                <w:noProof/>
                <w:webHidden/>
              </w:rPr>
              <w:fldChar w:fldCharType="begin"/>
            </w:r>
            <w:r w:rsidR="004D286D">
              <w:rPr>
                <w:noProof/>
                <w:webHidden/>
              </w:rPr>
              <w:instrText xml:space="preserve"> PAGEREF _Toc150417386 \h </w:instrText>
            </w:r>
            <w:r w:rsidR="004D286D">
              <w:rPr>
                <w:noProof/>
                <w:webHidden/>
              </w:rPr>
            </w:r>
            <w:r w:rsidR="004D286D">
              <w:rPr>
                <w:noProof/>
                <w:webHidden/>
              </w:rPr>
              <w:fldChar w:fldCharType="separate"/>
            </w:r>
            <w:r w:rsidR="001A1A35">
              <w:rPr>
                <w:noProof/>
                <w:webHidden/>
              </w:rPr>
              <w:t>26</w:t>
            </w:r>
            <w:r w:rsidR="004D286D">
              <w:rPr>
                <w:noProof/>
                <w:webHidden/>
              </w:rPr>
              <w:fldChar w:fldCharType="end"/>
            </w:r>
          </w:hyperlink>
        </w:p>
        <w:p w14:paraId="4194FD9D" w14:textId="550A5828" w:rsidR="004D286D" w:rsidRDefault="00000000">
          <w:pPr>
            <w:pStyle w:val="TOC2"/>
            <w:rPr>
              <w:rFonts w:asciiTheme="minorHAnsi" w:eastAsiaTheme="minorEastAsia" w:hAnsiTheme="minorHAnsi" w:cstheme="minorBidi"/>
              <w:bCs w:val="0"/>
              <w:iCs w:val="0"/>
              <w:noProof/>
              <w:color w:val="auto"/>
              <w:sz w:val="22"/>
              <w:szCs w:val="22"/>
            </w:rPr>
          </w:pPr>
          <w:hyperlink w:anchor="_Toc150417387" w:history="1">
            <w:r w:rsidR="004D286D" w:rsidRPr="000F3A69">
              <w:rPr>
                <w:rStyle w:val="Hyperlink"/>
                <w:noProof/>
              </w:rPr>
              <w:t>Public Comments</w:t>
            </w:r>
            <w:r w:rsidR="004D286D">
              <w:rPr>
                <w:noProof/>
                <w:webHidden/>
              </w:rPr>
              <w:tab/>
            </w:r>
            <w:r w:rsidR="004D286D">
              <w:rPr>
                <w:noProof/>
                <w:webHidden/>
              </w:rPr>
              <w:fldChar w:fldCharType="begin"/>
            </w:r>
            <w:r w:rsidR="004D286D">
              <w:rPr>
                <w:noProof/>
                <w:webHidden/>
              </w:rPr>
              <w:instrText xml:space="preserve"> PAGEREF _Toc150417387 \h </w:instrText>
            </w:r>
            <w:r w:rsidR="004D286D">
              <w:rPr>
                <w:noProof/>
                <w:webHidden/>
              </w:rPr>
            </w:r>
            <w:r w:rsidR="004D286D">
              <w:rPr>
                <w:noProof/>
                <w:webHidden/>
              </w:rPr>
              <w:fldChar w:fldCharType="separate"/>
            </w:r>
            <w:r w:rsidR="001A1A35">
              <w:rPr>
                <w:noProof/>
                <w:webHidden/>
              </w:rPr>
              <w:t>27</w:t>
            </w:r>
            <w:r w:rsidR="004D286D">
              <w:rPr>
                <w:noProof/>
                <w:webHidden/>
              </w:rPr>
              <w:fldChar w:fldCharType="end"/>
            </w:r>
          </w:hyperlink>
        </w:p>
        <w:p w14:paraId="6F7DE6E1" w14:textId="4DC7166C" w:rsidR="00E6365C" w:rsidRPr="009E6DD5" w:rsidRDefault="00000000" w:rsidP="00152820">
          <w:pPr>
            <w:pStyle w:val="TOC1"/>
          </w:pPr>
          <w:hyperlink w:anchor="_Toc150417388" w:history="1">
            <w:r w:rsidR="004D286D" w:rsidRPr="000F3A69">
              <w:rPr>
                <w:rStyle w:val="Hyperlink"/>
                <w:noProof/>
                <w:u w:color="000000"/>
              </w:rPr>
              <w:t>Section IX</w:t>
            </w:r>
            <w:r w:rsidR="004D286D" w:rsidRPr="000F3A69">
              <w:rPr>
                <w:rStyle w:val="Hyperlink"/>
                <w:noProof/>
                <w:spacing w:val="-7"/>
                <w:u w:color="000000"/>
              </w:rPr>
              <w:t xml:space="preserve"> </w:t>
            </w:r>
            <w:r w:rsidR="004D286D" w:rsidRPr="000F3A69">
              <w:rPr>
                <w:rStyle w:val="Hyperlink"/>
                <w:noProof/>
                <w:u w:color="000000"/>
              </w:rPr>
              <w:t>– Demonstration</w:t>
            </w:r>
            <w:r w:rsidR="004D286D" w:rsidRPr="000F3A69">
              <w:rPr>
                <w:rStyle w:val="Hyperlink"/>
                <w:noProof/>
                <w:spacing w:val="-2"/>
                <w:u w:color="000000"/>
              </w:rPr>
              <w:t xml:space="preserve"> Administration</w:t>
            </w:r>
            <w:r w:rsidR="004D286D">
              <w:rPr>
                <w:noProof/>
                <w:webHidden/>
              </w:rPr>
              <w:tab/>
            </w:r>
            <w:r w:rsidR="004D286D">
              <w:rPr>
                <w:noProof/>
                <w:webHidden/>
              </w:rPr>
              <w:fldChar w:fldCharType="begin"/>
            </w:r>
            <w:r w:rsidR="004D286D">
              <w:rPr>
                <w:noProof/>
                <w:webHidden/>
              </w:rPr>
              <w:instrText xml:space="preserve"> PAGEREF _Toc150417388 \h </w:instrText>
            </w:r>
            <w:r w:rsidR="004D286D">
              <w:rPr>
                <w:noProof/>
                <w:webHidden/>
              </w:rPr>
            </w:r>
            <w:r w:rsidR="004D286D">
              <w:rPr>
                <w:noProof/>
                <w:webHidden/>
              </w:rPr>
              <w:fldChar w:fldCharType="separate"/>
            </w:r>
            <w:r w:rsidR="001A1A35">
              <w:rPr>
                <w:noProof/>
                <w:webHidden/>
              </w:rPr>
              <w:t>27</w:t>
            </w:r>
            <w:r w:rsidR="004D286D">
              <w:rPr>
                <w:noProof/>
                <w:webHidden/>
              </w:rPr>
              <w:fldChar w:fldCharType="end"/>
            </w:r>
          </w:hyperlink>
          <w:r w:rsidR="00EE4575">
            <w:fldChar w:fldCharType="end"/>
          </w:r>
        </w:p>
      </w:sdtContent>
    </w:sdt>
    <w:p w14:paraId="4C0F27D2" w14:textId="77777777" w:rsidR="00B63EA3" w:rsidRPr="00A5080C" w:rsidRDefault="000C128B" w:rsidP="009F36C7">
      <w:pPr>
        <w:pStyle w:val="Heading1"/>
      </w:pPr>
      <w:bookmarkStart w:id="1" w:name="_Toc150417351"/>
      <w:r w:rsidRPr="00A5080C">
        <w:lastRenderedPageBreak/>
        <w:t xml:space="preserve">Section I </w:t>
      </w:r>
      <w:r w:rsidR="007158EC">
        <w:t>–</w:t>
      </w:r>
      <w:r w:rsidRPr="00A5080C">
        <w:t xml:space="preserve"> Program Description</w:t>
      </w:r>
      <w:bookmarkEnd w:id="1"/>
    </w:p>
    <w:p w14:paraId="0DB4FBED" w14:textId="757D9621" w:rsidR="00F818A9" w:rsidRDefault="009C08E1" w:rsidP="00272214">
      <w:r w:rsidRPr="009E6DD5">
        <w:t xml:space="preserve">The </w:t>
      </w:r>
      <w:r w:rsidR="00AE065B">
        <w:t>TEAM</w:t>
      </w:r>
      <w:r w:rsidR="003B3EFA">
        <w:t xml:space="preserve">KY </w:t>
      </w:r>
      <w:r w:rsidR="007C1F92" w:rsidRPr="003B3EFA">
        <w:t>section 1115(a) Medicaid a</w:t>
      </w:r>
      <w:r w:rsidR="007C1F92">
        <w:t xml:space="preserve">nd Children’s Health Insurance Program (CHIP) </w:t>
      </w:r>
      <w:r w:rsidR="00BF6C62">
        <w:t>(Project Number 11-W-00306/4</w:t>
      </w:r>
      <w:r w:rsidR="003B3EFA" w:rsidRPr="003B3EFA">
        <w:t>)</w:t>
      </w:r>
      <w:r w:rsidR="007C1F92">
        <w:t xml:space="preserve"> </w:t>
      </w:r>
      <w:r w:rsidR="00086E12">
        <w:t xml:space="preserve">Demonstration </w:t>
      </w:r>
      <w:r w:rsidR="007C1F92">
        <w:t xml:space="preserve">was </w:t>
      </w:r>
      <w:r w:rsidR="0068657B">
        <w:t xml:space="preserve">first </w:t>
      </w:r>
      <w:r w:rsidRPr="009E6DD5">
        <w:t>approved January 12, 2018</w:t>
      </w:r>
      <w:r w:rsidR="007C1F92">
        <w:t>.</w:t>
      </w:r>
      <w:r w:rsidR="008663CE">
        <w:t xml:space="preserve"> </w:t>
      </w:r>
      <w:r w:rsidR="00086E12">
        <w:t xml:space="preserve">Formerly known </w:t>
      </w:r>
      <w:r w:rsidR="00837444">
        <w:t xml:space="preserve">as </w:t>
      </w:r>
      <w:r w:rsidR="00086E12" w:rsidRPr="00086E12">
        <w:t xml:space="preserve">the </w:t>
      </w:r>
      <w:r w:rsidR="00086E12">
        <w:t xml:space="preserve">Kentucky </w:t>
      </w:r>
      <w:r w:rsidR="00086E12" w:rsidRPr="00086E12">
        <w:t xml:space="preserve">“Helping to Engage and Achieve Long Term Health” </w:t>
      </w:r>
      <w:r w:rsidR="00086E12">
        <w:t xml:space="preserve">(i.e., Kentucky HEALTH) </w:t>
      </w:r>
      <w:r w:rsidR="00086E12" w:rsidRPr="00086E12">
        <w:t>Demonstration</w:t>
      </w:r>
      <w:r w:rsidR="00086E12">
        <w:t xml:space="preserve">, TEAMKY </w:t>
      </w:r>
      <w:r w:rsidR="00CD48A8">
        <w:t>a</w:t>
      </w:r>
      <w:r w:rsidR="0068657B">
        <w:t xml:space="preserve">imed </w:t>
      </w:r>
      <w:r w:rsidRPr="009E6DD5">
        <w:t xml:space="preserve">to transform the </w:t>
      </w:r>
      <w:r w:rsidR="009E6DD5">
        <w:t xml:space="preserve">Commonwealth’s </w:t>
      </w:r>
      <w:r w:rsidRPr="009E6DD5">
        <w:t>Medicaid program to empower beneficiaries and improve their overall health</w:t>
      </w:r>
      <w:r w:rsidR="00B130AB">
        <w:t xml:space="preserve"> </w:t>
      </w:r>
      <w:r w:rsidR="00CD48A8">
        <w:t xml:space="preserve">by continuing </w:t>
      </w:r>
      <w:r w:rsidRPr="009E6DD5">
        <w:t>health coverage for the existing Medicaid population</w:t>
      </w:r>
      <w:r w:rsidR="003B3EFA">
        <w:t>,</w:t>
      </w:r>
      <w:r w:rsidRPr="009E6DD5">
        <w:t xml:space="preserve"> while evaluating new policies designed to engage members in their healthcare and communities</w:t>
      </w:r>
      <w:r w:rsidR="00BB4C87">
        <w:t xml:space="preserve"> (e.g., “community engagement requirements”)</w:t>
      </w:r>
      <w:r w:rsidR="00086E12">
        <w:t xml:space="preserve">. </w:t>
      </w:r>
      <w:r w:rsidR="00F818A9" w:rsidRPr="00F818A9">
        <w:t xml:space="preserve"> On December 16, 2019</w:t>
      </w:r>
      <w:r w:rsidR="00F818A9">
        <w:t xml:space="preserve">, Kentucky </w:t>
      </w:r>
      <w:r w:rsidR="00F818A9" w:rsidRPr="00F818A9">
        <w:t xml:space="preserve">requested to formally withdraw the </w:t>
      </w:r>
      <w:r w:rsidR="00BB4C87">
        <w:t xml:space="preserve">community engagement requirements </w:t>
      </w:r>
      <w:r w:rsidR="00F818A9">
        <w:t xml:space="preserve">which </w:t>
      </w:r>
      <w:r w:rsidR="00BB4C87">
        <w:t xml:space="preserve">were </w:t>
      </w:r>
      <w:r w:rsidR="00F818A9">
        <w:t xml:space="preserve">never </w:t>
      </w:r>
      <w:r w:rsidR="00F818A9" w:rsidRPr="00F818A9">
        <w:t xml:space="preserve">implemented. </w:t>
      </w:r>
      <w:r w:rsidR="00F818A9">
        <w:t>The Centers for Medicare &amp; Medicaid Services (CMS)</w:t>
      </w:r>
      <w:r w:rsidR="00F818A9" w:rsidRPr="00F818A9">
        <w:t xml:space="preserve"> reissued the </w:t>
      </w:r>
      <w:r w:rsidR="00A52471">
        <w:t>Special Terms and Conditions (STCs)</w:t>
      </w:r>
      <w:r w:rsidR="00F818A9" w:rsidRPr="00F818A9">
        <w:t xml:space="preserve"> of the </w:t>
      </w:r>
      <w:r w:rsidR="00FC0F23">
        <w:t>Kentucky</w:t>
      </w:r>
      <w:r w:rsidR="00FC0F23" w:rsidRPr="00F818A9">
        <w:t xml:space="preserve"> </w:t>
      </w:r>
      <w:r w:rsidR="00F818A9" w:rsidRPr="00F818A9">
        <w:t xml:space="preserve">HEALTH </w:t>
      </w:r>
      <w:r w:rsidR="00FC0F23">
        <w:t>D</w:t>
      </w:r>
      <w:r w:rsidR="00FC0F23" w:rsidRPr="00F818A9">
        <w:t>e</w:t>
      </w:r>
      <w:r w:rsidR="00FC0F23">
        <w:t xml:space="preserve">monstration </w:t>
      </w:r>
      <w:r w:rsidR="00F818A9">
        <w:t xml:space="preserve">on June 16, </w:t>
      </w:r>
      <w:proofErr w:type="gramStart"/>
      <w:r w:rsidR="00F818A9">
        <w:t>2020</w:t>
      </w:r>
      <w:proofErr w:type="gramEnd"/>
      <w:r w:rsidR="00F818A9">
        <w:t xml:space="preserve"> to </w:t>
      </w:r>
      <w:r w:rsidR="00F818A9" w:rsidRPr="00F818A9">
        <w:t xml:space="preserve">effectuate the </w:t>
      </w:r>
      <w:r w:rsidR="003169EF">
        <w:t>Commonwealth’s</w:t>
      </w:r>
      <w:r w:rsidR="00F818A9" w:rsidRPr="00F818A9">
        <w:t xml:space="preserve"> request.</w:t>
      </w:r>
      <w:r w:rsidR="00B130AB">
        <w:t xml:space="preserve"> </w:t>
      </w:r>
    </w:p>
    <w:p w14:paraId="733159AF" w14:textId="0707ABB3" w:rsidR="008615D5" w:rsidRDefault="00BB4C87" w:rsidP="00272214">
      <w:r>
        <w:t xml:space="preserve">In the intervening years, several </w:t>
      </w:r>
      <w:r w:rsidR="00F818A9">
        <w:t>additional requests have since been submitted to CMS, including</w:t>
      </w:r>
      <w:r w:rsidR="005B587C">
        <w:t>: (1)</w:t>
      </w:r>
      <w:r w:rsidR="00F818A9">
        <w:t xml:space="preserve"> a</w:t>
      </w:r>
      <w:r w:rsidR="005B587C">
        <w:t xml:space="preserve"> request to amend the </w:t>
      </w:r>
      <w:r>
        <w:t xml:space="preserve">TEAMKY </w:t>
      </w:r>
      <w:r w:rsidR="00A52471">
        <w:t>D</w:t>
      </w:r>
      <w:r w:rsidR="005B587C">
        <w:t xml:space="preserve">emonstration </w:t>
      </w:r>
      <w:r w:rsidR="00F818A9" w:rsidRPr="00F818A9">
        <w:t xml:space="preserve">to </w:t>
      </w:r>
      <w:r w:rsidR="005B587C">
        <w:t>provide</w:t>
      </w:r>
      <w:r w:rsidR="00F818A9" w:rsidRPr="00F818A9">
        <w:t xml:space="preserve"> substance use disorder (</w:t>
      </w:r>
      <w:r w:rsidR="00F818A9">
        <w:t xml:space="preserve">SUD) </w:t>
      </w:r>
      <w:r w:rsidR="00F818A9" w:rsidRPr="00F818A9">
        <w:t>treatment to eligible incarcerated members</w:t>
      </w:r>
      <w:r w:rsidR="00F818A9">
        <w:t xml:space="preserve"> dated November 24, 2020; </w:t>
      </w:r>
      <w:r w:rsidR="005B587C">
        <w:t xml:space="preserve">(2) a request to extend the </w:t>
      </w:r>
      <w:r>
        <w:t xml:space="preserve">TEAMKY </w:t>
      </w:r>
      <w:r w:rsidR="00A52471">
        <w:t>D</w:t>
      </w:r>
      <w:r w:rsidR="005B587C">
        <w:t>emonstration through</w:t>
      </w:r>
      <w:r w:rsidR="005B587C" w:rsidRPr="005B587C">
        <w:t xml:space="preserve"> September 30, 2028</w:t>
      </w:r>
      <w:r w:rsidR="005B587C">
        <w:t xml:space="preserve">, dated September 30, 2022; and (3) a request to amend the </w:t>
      </w:r>
      <w:r w:rsidR="00A52471">
        <w:t>D</w:t>
      </w:r>
      <w:r w:rsidR="005B587C">
        <w:t>emonstration to provide short-term inpatient treatment services in</w:t>
      </w:r>
      <w:r w:rsidR="005B587C" w:rsidRPr="005B587C">
        <w:t xml:space="preserve"> institutions for mental diseases (IMDs) for </w:t>
      </w:r>
      <w:r w:rsidR="005B587C">
        <w:t xml:space="preserve">eligible </w:t>
      </w:r>
      <w:r w:rsidR="005B587C" w:rsidRPr="005B587C">
        <w:t>adults with serious mental illness (SMI)</w:t>
      </w:r>
      <w:r w:rsidR="005B587C">
        <w:t xml:space="preserve"> and to provide</w:t>
      </w:r>
      <w:r w:rsidR="005B587C" w:rsidRPr="005B587C">
        <w:t xml:space="preserve"> recuperative car</w:t>
      </w:r>
      <w:r w:rsidR="005B587C">
        <w:t xml:space="preserve">e </w:t>
      </w:r>
      <w:r w:rsidR="005B587C" w:rsidRPr="005B587C">
        <w:t>services</w:t>
      </w:r>
      <w:r w:rsidR="005B587C">
        <w:t xml:space="preserve"> to eligible adults who are homeless or at risk of </w:t>
      </w:r>
      <w:r w:rsidR="005B587C" w:rsidRPr="005B587C">
        <w:t>homelessness</w:t>
      </w:r>
      <w:r w:rsidR="005B587C">
        <w:t>, dated May 31, 2023.</w:t>
      </w:r>
      <w:r w:rsidR="00B130AB">
        <w:t xml:space="preserve"> </w:t>
      </w:r>
      <w:r w:rsidR="00BF6C62">
        <w:t xml:space="preserve">As of this writing, none of the </w:t>
      </w:r>
      <w:proofErr w:type="gramStart"/>
      <w:r w:rsidR="00BF6C62">
        <w:t>aforementioned requests</w:t>
      </w:r>
      <w:proofErr w:type="gramEnd"/>
      <w:r w:rsidR="00BF6C62">
        <w:t xml:space="preserve"> have received CMS approval; however, on September 27, 2023, </w:t>
      </w:r>
      <w:r w:rsidR="006B48C5">
        <w:t>CMS</w:t>
      </w:r>
      <w:r w:rsidR="00BF6C62">
        <w:t xml:space="preserve"> did approve a </w:t>
      </w:r>
      <w:r w:rsidR="008615D5">
        <w:t xml:space="preserve">temporary extension of the </w:t>
      </w:r>
      <w:r>
        <w:t xml:space="preserve">TEAMKY </w:t>
      </w:r>
      <w:r w:rsidR="008615D5">
        <w:t>Demonstration</w:t>
      </w:r>
      <w:r w:rsidR="00BF6C62">
        <w:t xml:space="preserve"> </w:t>
      </w:r>
      <w:r w:rsidR="008615D5" w:rsidRPr="008615D5">
        <w:t xml:space="preserve">to allow </w:t>
      </w:r>
      <w:r w:rsidR="00BF6C62">
        <w:t xml:space="preserve">for continued negotiations over the </w:t>
      </w:r>
      <w:r w:rsidR="008615D5" w:rsidRPr="008615D5">
        <w:t>extension application</w:t>
      </w:r>
      <w:r w:rsidR="00BF6C62">
        <w:t>.</w:t>
      </w:r>
      <w:r w:rsidR="00B130AB">
        <w:t xml:space="preserve"> </w:t>
      </w:r>
      <w:r w:rsidR="00BF6C62">
        <w:t xml:space="preserve">The </w:t>
      </w:r>
      <w:r>
        <w:t xml:space="preserve">TEAMKY </w:t>
      </w:r>
      <w:r w:rsidR="00BF6C62">
        <w:t xml:space="preserve">Demonstration will now </w:t>
      </w:r>
      <w:r w:rsidR="008615D5" w:rsidRPr="008615D5">
        <w:t>expire September 30, 2024.</w:t>
      </w:r>
    </w:p>
    <w:p w14:paraId="474A7D51" w14:textId="77777777" w:rsidR="00B044D1" w:rsidRPr="00D038D6" w:rsidRDefault="00C26900" w:rsidP="00D038D6">
      <w:pPr>
        <w:pStyle w:val="Heading2"/>
      </w:pPr>
      <w:bookmarkStart w:id="2" w:name="_Toc150417352"/>
      <w:r w:rsidRPr="00D038D6">
        <w:t xml:space="preserve">Section I.A. </w:t>
      </w:r>
      <w:r w:rsidR="00B044D1" w:rsidRPr="00D038D6">
        <w:t>Summary of Proposed Demonstration</w:t>
      </w:r>
      <w:bookmarkEnd w:id="2"/>
    </w:p>
    <w:p w14:paraId="0FB67840" w14:textId="0177B2CB" w:rsidR="00B02781" w:rsidRDefault="003169EF" w:rsidP="00272214">
      <w:r>
        <w:t xml:space="preserve">As described above, Kentucky has a pending </w:t>
      </w:r>
      <w:r w:rsidR="006C5ED2">
        <w:t xml:space="preserve">request to amend the TEAMKY Demonstration </w:t>
      </w:r>
      <w:r>
        <w:t>to provide SUD treatment to eligible incarcerated members</w:t>
      </w:r>
      <w:r w:rsidR="00FB5864">
        <w:t xml:space="preserve"> (hereinafter “</w:t>
      </w:r>
      <w:r w:rsidR="00BB4C87">
        <w:t>Original Reentry Demonstration</w:t>
      </w:r>
      <w:r w:rsidR="00FB5864">
        <w:t>”)</w:t>
      </w:r>
      <w:r w:rsidR="00042D46">
        <w:t>.</w:t>
      </w:r>
      <w:r w:rsidR="00B130AB">
        <w:t xml:space="preserve"> </w:t>
      </w:r>
      <w:r w:rsidR="00042D46">
        <w:t xml:space="preserve">Specifically, the amendment would allow the Commonwealth </w:t>
      </w:r>
      <w:r w:rsidR="00FB5864">
        <w:t xml:space="preserve">to </w:t>
      </w:r>
      <w:r w:rsidR="00042D46" w:rsidRPr="009E6DD5">
        <w:t>provide SUD treatment to eligible incarcerated members in Kentucky state jails and prisons</w:t>
      </w:r>
      <w:r w:rsidR="00FB5864">
        <w:t>,</w:t>
      </w:r>
      <w:r w:rsidR="00042D46" w:rsidRPr="009E6DD5">
        <w:t xml:space="preserve"> </w:t>
      </w:r>
      <w:r w:rsidR="00042D46">
        <w:t>and</w:t>
      </w:r>
      <w:r w:rsidR="00042D46" w:rsidRPr="009E6DD5">
        <w:t xml:space="preserve"> to </w:t>
      </w:r>
      <w:r w:rsidR="00042D46" w:rsidRPr="00042D46">
        <w:t>tra</w:t>
      </w:r>
      <w:r w:rsidR="00FB5864">
        <w:t xml:space="preserve">nsition the incarcerated member </w:t>
      </w:r>
      <w:r w:rsidR="00042D46" w:rsidRPr="00042D46">
        <w:t xml:space="preserve">to their chosen </w:t>
      </w:r>
      <w:r w:rsidR="00FB5864">
        <w:t>managed care organization (MCO)</w:t>
      </w:r>
      <w:r w:rsidR="00042D46" w:rsidRPr="00042D46">
        <w:t xml:space="preserve"> an average of 30 days prior to</w:t>
      </w:r>
      <w:r w:rsidR="00FB5864">
        <w:t xml:space="preserve"> their release date </w:t>
      </w:r>
      <w:proofErr w:type="gramStart"/>
      <w:r w:rsidR="00FB5864">
        <w:t>in order to</w:t>
      </w:r>
      <w:proofErr w:type="gramEnd"/>
      <w:r w:rsidR="00FB5864">
        <w:t xml:space="preserve"> </w:t>
      </w:r>
      <w:r w:rsidR="00042D46" w:rsidRPr="00042D46">
        <w:t>coordinate referrals and assessments to their community treatment providers.</w:t>
      </w:r>
      <w:r w:rsidR="00B130AB">
        <w:t xml:space="preserve"> </w:t>
      </w:r>
    </w:p>
    <w:p w14:paraId="662FF156" w14:textId="724010EF" w:rsidR="000C680C" w:rsidRDefault="003302F6" w:rsidP="00272214">
      <w:r>
        <w:t xml:space="preserve">In the intervening years since </w:t>
      </w:r>
      <w:r w:rsidR="006C5ED2">
        <w:t xml:space="preserve">the Original Reentry Demonstration </w:t>
      </w:r>
      <w:r>
        <w:t xml:space="preserve">was submitted, </w:t>
      </w:r>
      <w:r w:rsidRPr="009E6DD5">
        <w:t xml:space="preserve">CMS </w:t>
      </w:r>
      <w:r>
        <w:t xml:space="preserve">approved </w:t>
      </w:r>
      <w:r w:rsidR="00876098">
        <w:t>similar</w:t>
      </w:r>
      <w:r>
        <w:t xml:space="preserve"> demonstrations in California and Washington, and issued guidance to states on </w:t>
      </w:r>
      <w:r w:rsidRPr="009E6DD5">
        <w:t xml:space="preserve">how to leverage the Medicaid program to provide reentry </w:t>
      </w:r>
      <w:r>
        <w:t>services</w:t>
      </w:r>
      <w:r w:rsidRPr="009E6DD5">
        <w:t>.</w:t>
      </w:r>
      <w:r w:rsidR="000C680C">
        <w:rPr>
          <w:rStyle w:val="FootnoteReference"/>
        </w:rPr>
        <w:footnoteReference w:id="1"/>
      </w:r>
      <w:r w:rsidR="00B130AB">
        <w:t xml:space="preserve"> </w:t>
      </w:r>
      <w:r w:rsidR="000C680C">
        <w:t xml:space="preserve">Regarding the latter, </w:t>
      </w:r>
      <w:r w:rsidR="000C680C" w:rsidRPr="009E6DD5">
        <w:t>State Medicaid</w:t>
      </w:r>
      <w:r w:rsidR="000C680C">
        <w:t xml:space="preserve"> Director Letter (SMDL) #23-003, published on </w:t>
      </w:r>
      <w:r w:rsidR="000C680C" w:rsidRPr="009E6DD5">
        <w:t>April 17, 2023</w:t>
      </w:r>
      <w:r w:rsidR="000C680C">
        <w:t xml:space="preserve">, describes an opportunity for states to secure </w:t>
      </w:r>
      <w:r w:rsidR="000C680C" w:rsidRPr="00D2148E">
        <w:t xml:space="preserve">demonstration </w:t>
      </w:r>
      <w:r w:rsidR="000C680C">
        <w:t xml:space="preserve">waivers for </w:t>
      </w:r>
      <w:r w:rsidR="000C680C" w:rsidRPr="00D2148E">
        <w:t>projects to improve care transitions for certain indivi</w:t>
      </w:r>
      <w:r w:rsidR="000C680C">
        <w:t xml:space="preserve">duals who are soon-to-be former </w:t>
      </w:r>
      <w:r w:rsidR="000C680C" w:rsidRPr="00D2148E">
        <w:t>i</w:t>
      </w:r>
      <w:r w:rsidR="00876098">
        <w:t xml:space="preserve">nmates of a public institution </w:t>
      </w:r>
      <w:r w:rsidR="000C680C" w:rsidRPr="00D2148E">
        <w:t>and who are o</w:t>
      </w:r>
      <w:r w:rsidR="000C680C">
        <w:t>therwise eligible for Medicaid.</w:t>
      </w:r>
      <w:r w:rsidR="00B130AB">
        <w:t xml:space="preserve"> </w:t>
      </w:r>
      <w:r w:rsidR="000C680C">
        <w:t xml:space="preserve">The SMDL specifically notes that such demonstrations must “test </w:t>
      </w:r>
      <w:r w:rsidR="000C680C" w:rsidRPr="00A52471">
        <w:t>innovative approaches to coverage and quality to improve care tra</w:t>
      </w:r>
      <w:r w:rsidR="000C680C">
        <w:t>nsitions, starting pre-</w:t>
      </w:r>
      <w:r w:rsidR="000C680C">
        <w:lastRenderedPageBreak/>
        <w:t xml:space="preserve">release, </w:t>
      </w:r>
      <w:r w:rsidR="000C680C" w:rsidRPr="00A52471">
        <w:t>for individuals who are incarcerated, thereby facilitating impro</w:t>
      </w:r>
      <w:r w:rsidR="000C680C">
        <w:t xml:space="preserve">ved continuity of care once the </w:t>
      </w:r>
      <w:r w:rsidR="000C680C" w:rsidRPr="00A52471">
        <w:t>individual is released.</w:t>
      </w:r>
      <w:r w:rsidR="000C680C">
        <w:t>”</w:t>
      </w:r>
      <w:r w:rsidR="00B130AB">
        <w:t xml:space="preserve"> </w:t>
      </w:r>
    </w:p>
    <w:p w14:paraId="584A5206" w14:textId="5AACE1CF" w:rsidR="007C6DB9" w:rsidRPr="00961C27" w:rsidRDefault="000C680C" w:rsidP="009965D5">
      <w:pPr>
        <w:spacing w:after="120"/>
      </w:pPr>
      <w:r w:rsidRPr="00961C27">
        <w:t xml:space="preserve">With this application, Kentucky requests to withdraw its </w:t>
      </w:r>
      <w:r w:rsidR="006C5ED2">
        <w:t xml:space="preserve">Original Reentry Demonstration </w:t>
      </w:r>
      <w:r w:rsidRPr="00961C27">
        <w:t>and seeks approval to provide the following services consis</w:t>
      </w:r>
      <w:r w:rsidR="007C6DB9" w:rsidRPr="00961C27">
        <w:t xml:space="preserve">tent with </w:t>
      </w:r>
      <w:r w:rsidR="006C5ED2">
        <w:t>SMDL #23-003</w:t>
      </w:r>
      <w:r w:rsidR="007C6DB9" w:rsidRPr="00961C27">
        <w:t>:</w:t>
      </w:r>
    </w:p>
    <w:p w14:paraId="36398B98" w14:textId="78BC6675" w:rsidR="00961C27" w:rsidRDefault="007C6DB9" w:rsidP="00A97FB2">
      <w:pPr>
        <w:pStyle w:val="ListParagraph"/>
        <w:numPr>
          <w:ilvl w:val="0"/>
          <w:numId w:val="8"/>
        </w:numPr>
        <w:spacing w:after="120"/>
      </w:pPr>
      <w:r>
        <w:t>A</w:t>
      </w:r>
      <w:r w:rsidR="000C680C" w:rsidRPr="007C6DB9">
        <w:t xml:space="preserve">ll adults who would be eligible for Medicaid if not for their incarceration status in one of </w:t>
      </w:r>
      <w:r w:rsidR="00D11A09">
        <w:t>Kentucky’s</w:t>
      </w:r>
      <w:r w:rsidR="00D11A09" w:rsidRPr="007C6DB9">
        <w:t xml:space="preserve"> </w:t>
      </w:r>
      <w:r w:rsidR="000C680C" w:rsidRPr="007C6DB9">
        <w:t xml:space="preserve">state prisons overseen by the Kentucky Department of Corrections (DOC), shall receive: </w:t>
      </w:r>
    </w:p>
    <w:p w14:paraId="58AD10C5" w14:textId="77777777" w:rsidR="00961C27" w:rsidRDefault="00961C27" w:rsidP="00A97FB2">
      <w:pPr>
        <w:pStyle w:val="ListParagraph"/>
        <w:numPr>
          <w:ilvl w:val="1"/>
          <w:numId w:val="8"/>
        </w:numPr>
        <w:spacing w:after="120"/>
      </w:pPr>
      <w:r>
        <w:t>C</w:t>
      </w:r>
      <w:r w:rsidR="000C680C" w:rsidRPr="007C6DB9">
        <w:t>ase management to address physical health, behavioral health, and health</w:t>
      </w:r>
      <w:r w:rsidR="00A9373D">
        <w:t>-</w:t>
      </w:r>
      <w:r w:rsidR="000C680C" w:rsidRPr="007C6DB9">
        <w:t>related social needs (HR</w:t>
      </w:r>
      <w:r w:rsidR="00A9373D">
        <w:t>S</w:t>
      </w:r>
      <w:r w:rsidR="000C680C" w:rsidRPr="007C6DB9">
        <w:t>N) up to 60 days prior to release, and up to 12 months post-release</w:t>
      </w:r>
      <w:r w:rsidR="00791440">
        <w:t>.</w:t>
      </w:r>
      <w:r w:rsidR="000C680C" w:rsidRPr="007C6DB9">
        <w:t xml:space="preserve"> </w:t>
      </w:r>
    </w:p>
    <w:p w14:paraId="02694B82" w14:textId="77777777" w:rsidR="00961C27" w:rsidRDefault="00961C27" w:rsidP="00A97FB2">
      <w:pPr>
        <w:pStyle w:val="ListParagraph"/>
        <w:numPr>
          <w:ilvl w:val="1"/>
          <w:numId w:val="8"/>
        </w:numPr>
        <w:spacing w:after="120"/>
      </w:pPr>
      <w:r>
        <w:t>M</w:t>
      </w:r>
      <w:r w:rsidR="000C680C" w:rsidRPr="007C6DB9">
        <w:t>edication</w:t>
      </w:r>
      <w:r w:rsidR="001F377E">
        <w:t>-</w:t>
      </w:r>
      <w:r w:rsidR="000C680C" w:rsidRPr="007C6DB9">
        <w:t>assisted treatment (MAT) with accompanying counseling for individuals diagnosed with an SUD up to 60 days prior to release</w:t>
      </w:r>
      <w:r w:rsidR="00791440">
        <w:t>.</w:t>
      </w:r>
      <w:r w:rsidR="000C680C">
        <w:rPr>
          <w:rStyle w:val="FootnoteReference"/>
        </w:rPr>
        <w:footnoteReference w:id="2"/>
      </w:r>
      <w:r w:rsidR="000C680C" w:rsidRPr="007C6DB9">
        <w:t xml:space="preserve"> </w:t>
      </w:r>
    </w:p>
    <w:p w14:paraId="1C8269F5" w14:textId="77777777" w:rsidR="00961C27" w:rsidRDefault="007228ED" w:rsidP="00A97FB2">
      <w:pPr>
        <w:pStyle w:val="ListParagraph"/>
        <w:numPr>
          <w:ilvl w:val="1"/>
          <w:numId w:val="8"/>
        </w:numPr>
        <w:spacing w:after="120"/>
      </w:pPr>
      <w:r>
        <w:t>Thirty</w:t>
      </w:r>
      <w:r w:rsidR="000C680C" w:rsidRPr="007C6DB9">
        <w:t xml:space="preserve">-day supply of all </w:t>
      </w:r>
      <w:proofErr w:type="gramStart"/>
      <w:r w:rsidR="000C680C" w:rsidRPr="007C6DB9">
        <w:t>clinically</w:t>
      </w:r>
      <w:r>
        <w:t>-</w:t>
      </w:r>
      <w:r w:rsidR="000C680C" w:rsidRPr="007C6DB9">
        <w:t>required</w:t>
      </w:r>
      <w:proofErr w:type="gramEnd"/>
      <w:r w:rsidR="000C680C" w:rsidRPr="007C6DB9">
        <w:t xml:space="preserve"> prescription medication (inclusive of over</w:t>
      </w:r>
      <w:r>
        <w:t>-</w:t>
      </w:r>
      <w:r w:rsidR="000C680C" w:rsidRPr="007C6DB9">
        <w:t>the</w:t>
      </w:r>
      <w:r>
        <w:t>-</w:t>
      </w:r>
      <w:r w:rsidR="000C680C" w:rsidRPr="007C6DB9">
        <w:t>counter [OTC] medications) and, if applicable, a prescription/written order for durable medical equipment (DME) immediately upon release</w:t>
      </w:r>
      <w:r w:rsidR="00791440">
        <w:t>.</w:t>
      </w:r>
      <w:r w:rsidR="000C680C" w:rsidRPr="007C6DB9">
        <w:t xml:space="preserve"> </w:t>
      </w:r>
    </w:p>
    <w:p w14:paraId="5227AA88" w14:textId="77777777" w:rsidR="007C6DB9" w:rsidRDefault="00961C27" w:rsidP="00A97FB2">
      <w:pPr>
        <w:pStyle w:val="ListParagraph"/>
        <w:numPr>
          <w:ilvl w:val="1"/>
          <w:numId w:val="8"/>
        </w:numPr>
        <w:spacing w:after="120"/>
      </w:pPr>
      <w:r>
        <w:t>R</w:t>
      </w:r>
      <w:r w:rsidR="000C680C" w:rsidRPr="007C6DB9">
        <w:t>ecovery residence support services (RRSS) for individuals diagnosed with an SUD up to 90 days post-release.</w:t>
      </w:r>
      <w:r w:rsidR="00B130AB" w:rsidRPr="007C6DB9">
        <w:t xml:space="preserve"> </w:t>
      </w:r>
    </w:p>
    <w:p w14:paraId="56C5FBAC" w14:textId="7E96E84A" w:rsidR="00961C27" w:rsidRDefault="007C6DB9" w:rsidP="00A97FB2">
      <w:pPr>
        <w:pStyle w:val="ListParagraph"/>
        <w:numPr>
          <w:ilvl w:val="0"/>
          <w:numId w:val="8"/>
        </w:numPr>
        <w:spacing w:after="120"/>
      </w:pPr>
      <w:r>
        <w:t>A</w:t>
      </w:r>
      <w:r w:rsidR="000C680C" w:rsidRPr="007C6DB9">
        <w:t xml:space="preserve">ll youth who would be eligible for Medicaid or CHIP if not for </w:t>
      </w:r>
      <w:proofErr w:type="gramStart"/>
      <w:r w:rsidR="000C680C" w:rsidRPr="007C6DB9">
        <w:t>their</w:t>
      </w:r>
      <w:proofErr w:type="gramEnd"/>
      <w:r w:rsidR="000C680C" w:rsidRPr="007C6DB9">
        <w:t xml:space="preserve"> having been adjudicated and placed in one of </w:t>
      </w:r>
      <w:r w:rsidR="00D11A09">
        <w:t>Kentucky’s</w:t>
      </w:r>
      <w:r w:rsidR="00D11A09" w:rsidRPr="007C6DB9">
        <w:t xml:space="preserve"> </w:t>
      </w:r>
      <w:r w:rsidR="000C680C" w:rsidRPr="007C6DB9">
        <w:t xml:space="preserve">Youth Development Centers (YDCs) overseen by the Kentucky Department of Juvenile Justice (DJJ), shall receive: </w:t>
      </w:r>
    </w:p>
    <w:p w14:paraId="0454CE47" w14:textId="77777777" w:rsidR="00961C27" w:rsidRDefault="00961C27" w:rsidP="00A97FB2">
      <w:pPr>
        <w:pStyle w:val="ListParagraph"/>
        <w:numPr>
          <w:ilvl w:val="1"/>
          <w:numId w:val="8"/>
        </w:numPr>
        <w:spacing w:after="120"/>
      </w:pPr>
      <w:r>
        <w:t>C</w:t>
      </w:r>
      <w:r w:rsidR="000C680C" w:rsidRPr="007C6DB9">
        <w:t>ase management to address physical health, behavioral health, and HR</w:t>
      </w:r>
      <w:r w:rsidR="00DA0CC6">
        <w:t>S</w:t>
      </w:r>
      <w:r w:rsidR="000C680C" w:rsidRPr="007C6DB9">
        <w:t>N for up to 60 days prior to the individual’s expected date of release, and up to 12 months post-release</w:t>
      </w:r>
      <w:r w:rsidR="0063616D">
        <w:t>.</w:t>
      </w:r>
      <w:r w:rsidR="000C680C" w:rsidRPr="007C6DB9">
        <w:t xml:space="preserve"> </w:t>
      </w:r>
    </w:p>
    <w:p w14:paraId="447A36A3" w14:textId="77777777" w:rsidR="00961C27" w:rsidRDefault="000C680C" w:rsidP="00A97FB2">
      <w:pPr>
        <w:pStyle w:val="ListParagraph"/>
        <w:numPr>
          <w:ilvl w:val="1"/>
          <w:numId w:val="8"/>
        </w:numPr>
        <w:spacing w:after="120"/>
      </w:pPr>
      <w:r w:rsidRPr="007C6DB9">
        <w:t>MAT with accompanying counseling for individuals diagnosed with an SUD up to 60 days prior to release</w:t>
      </w:r>
      <w:r w:rsidR="0063616D">
        <w:t>.</w:t>
      </w:r>
      <w:r>
        <w:rPr>
          <w:rStyle w:val="FootnoteReference"/>
        </w:rPr>
        <w:footnoteReference w:id="3"/>
      </w:r>
      <w:r w:rsidRPr="007C6DB9">
        <w:t xml:space="preserve"> </w:t>
      </w:r>
    </w:p>
    <w:p w14:paraId="1F8ED193" w14:textId="77777777" w:rsidR="007C6DB9" w:rsidRDefault="007F06CE" w:rsidP="00A97FB2">
      <w:pPr>
        <w:pStyle w:val="ListParagraph"/>
        <w:numPr>
          <w:ilvl w:val="1"/>
          <w:numId w:val="8"/>
        </w:numPr>
        <w:spacing w:after="120"/>
      </w:pPr>
      <w:r>
        <w:t>Thirty</w:t>
      </w:r>
      <w:r w:rsidR="000C680C" w:rsidRPr="007C6DB9">
        <w:t xml:space="preserve">-day supply of all </w:t>
      </w:r>
      <w:proofErr w:type="gramStart"/>
      <w:r w:rsidR="000C680C" w:rsidRPr="007C6DB9">
        <w:t>clinically</w:t>
      </w:r>
      <w:r>
        <w:t>-</w:t>
      </w:r>
      <w:r w:rsidR="000C680C" w:rsidRPr="007C6DB9">
        <w:t>required</w:t>
      </w:r>
      <w:proofErr w:type="gramEnd"/>
      <w:r w:rsidR="000C680C" w:rsidRPr="007C6DB9">
        <w:t xml:space="preserve"> prescription medication (inclusive of OTC medications) and, if applicable, a prescription/written order for DME immediately upon release.</w:t>
      </w:r>
      <w:r w:rsidR="00B130AB" w:rsidRPr="007C6DB9">
        <w:t xml:space="preserve"> </w:t>
      </w:r>
    </w:p>
    <w:p w14:paraId="450ABD62" w14:textId="77777777" w:rsidR="000C680C" w:rsidRDefault="007C6DB9" w:rsidP="009965D5">
      <w:pPr>
        <w:pStyle w:val="ListParagraph"/>
        <w:numPr>
          <w:ilvl w:val="0"/>
          <w:numId w:val="8"/>
        </w:numPr>
      </w:pPr>
      <w:r>
        <w:t>A</w:t>
      </w:r>
      <w:r w:rsidR="000C680C" w:rsidRPr="007C6DB9">
        <w:t>ll Medicaid</w:t>
      </w:r>
      <w:r w:rsidR="007F06CE">
        <w:t>-</w:t>
      </w:r>
      <w:r w:rsidR="000C680C" w:rsidRPr="007C6DB9">
        <w:t xml:space="preserve">enrolled adults </w:t>
      </w:r>
      <w:r>
        <w:t xml:space="preserve">diagnosed with an SUD and </w:t>
      </w:r>
      <w:r w:rsidR="000C680C" w:rsidRPr="007C6DB9">
        <w:t>participating in the Kentucky Behavioral Health Condit</w:t>
      </w:r>
      <w:r>
        <w:t>ional Dismissal Program (BHCDP),</w:t>
      </w:r>
      <w:r>
        <w:rPr>
          <w:rStyle w:val="FootnoteReference"/>
        </w:rPr>
        <w:footnoteReference w:id="4"/>
      </w:r>
      <w:r>
        <w:t xml:space="preserve"> </w:t>
      </w:r>
      <w:r w:rsidR="00961C27">
        <w:t>authorized</w:t>
      </w:r>
      <w:r>
        <w:t xml:space="preserve"> </w:t>
      </w:r>
      <w:r w:rsidR="00961C27">
        <w:t xml:space="preserve">in 2022 </w:t>
      </w:r>
      <w:r>
        <w:t>pursuant to Kentucky Senate Bill</w:t>
      </w:r>
      <w:r w:rsidR="00FE17EF">
        <w:t xml:space="preserve"> (SB)</w:t>
      </w:r>
      <w:r>
        <w:t xml:space="preserve"> 90,</w:t>
      </w:r>
      <w:r w:rsidR="00961C27">
        <w:t xml:space="preserve"> </w:t>
      </w:r>
      <w:r w:rsidR="000C680C" w:rsidRPr="007C6DB9">
        <w:t>shall receive RRSS for up to 90 days.</w:t>
      </w:r>
    </w:p>
    <w:p w14:paraId="48102F4B" w14:textId="5F45802A" w:rsidR="00726A5D" w:rsidRDefault="000C680C" w:rsidP="00272214">
      <w:r>
        <w:t xml:space="preserve">While outlined in greater detail throughout this application, the Commonwealth will provide the </w:t>
      </w:r>
      <w:r w:rsidR="007C6DB9">
        <w:t>above</w:t>
      </w:r>
      <w:r>
        <w:t xml:space="preserve"> services through a variety of </w:t>
      </w:r>
      <w:r w:rsidR="00FE17EF">
        <w:t>s</w:t>
      </w:r>
      <w:r>
        <w:t>tate agencies, MCOs, and providers.</w:t>
      </w:r>
      <w:r w:rsidR="00B130AB">
        <w:t xml:space="preserve"> </w:t>
      </w:r>
      <w:r>
        <w:t xml:space="preserve">With respect to eligible </w:t>
      </w:r>
      <w:r>
        <w:lastRenderedPageBreak/>
        <w:t>adults incarcerated in a state prison, all case management</w:t>
      </w:r>
      <w:r w:rsidRPr="00C648AB">
        <w:t xml:space="preserve"> services </w:t>
      </w:r>
      <w:r>
        <w:t>will be provided by a Kentucky Medicaid MCO; p</w:t>
      </w:r>
      <w:r w:rsidRPr="00C648AB">
        <w:t xml:space="preserve">re-release MAT services </w:t>
      </w:r>
      <w:r>
        <w:t>will be provided</w:t>
      </w:r>
      <w:r w:rsidRPr="00C648AB">
        <w:t xml:space="preserve"> by</w:t>
      </w:r>
      <w:r>
        <w:t xml:space="preserve"> DOC providers</w:t>
      </w:r>
      <w:r w:rsidR="005570A6">
        <w:t>,</w:t>
      </w:r>
      <w:r>
        <w:t xml:space="preserve"> and </w:t>
      </w:r>
      <w:r w:rsidRPr="00C648AB">
        <w:t>post-release MAT services delivered by community-based provider</w:t>
      </w:r>
      <w:r>
        <w:t xml:space="preserve">s under contract with a Kentucky Medicaid MCO; 30-day </w:t>
      </w:r>
      <w:r w:rsidR="00D11A09">
        <w:t xml:space="preserve">supply </w:t>
      </w:r>
      <w:r>
        <w:t xml:space="preserve">of </w:t>
      </w:r>
      <w:r w:rsidRPr="00C648AB">
        <w:t>medication</w:t>
      </w:r>
      <w:r>
        <w:t xml:space="preserve"> and/or DME will be </w:t>
      </w:r>
      <w:r w:rsidRPr="00C648AB">
        <w:t xml:space="preserve">prescribed by </w:t>
      </w:r>
      <w:r>
        <w:t>DOC</w:t>
      </w:r>
      <w:r w:rsidRPr="00C648AB">
        <w:t xml:space="preserve"> provider</w:t>
      </w:r>
      <w:r>
        <w:t>s, with medications dispensed on</w:t>
      </w:r>
      <w:r w:rsidR="005570A6">
        <w:t xml:space="preserve"> </w:t>
      </w:r>
      <w:r>
        <w:t>site and DME available in the community; and RRSS will be delivered by community-based providers contracting with a Kentucky Medicaid MCO.</w:t>
      </w:r>
      <w:r w:rsidR="00B130AB">
        <w:t xml:space="preserve"> </w:t>
      </w:r>
    </w:p>
    <w:p w14:paraId="2FF33028" w14:textId="77777777" w:rsidR="00726A5D" w:rsidRDefault="000C680C" w:rsidP="00272214">
      <w:r>
        <w:t xml:space="preserve">Regarding eligible youth placed in a YDC, all case management services will be provided by the </w:t>
      </w:r>
      <w:r w:rsidRPr="00A60388">
        <w:t xml:space="preserve">single statewide </w:t>
      </w:r>
      <w:r>
        <w:t>MCO that</w:t>
      </w:r>
      <w:r w:rsidRPr="00A60388">
        <w:t xml:space="preserve"> manages the Supporting Kentucky Youth </w:t>
      </w:r>
      <w:r>
        <w:t xml:space="preserve">(SKY) </w:t>
      </w:r>
      <w:r w:rsidRPr="00A60388">
        <w:t>program</w:t>
      </w:r>
      <w:r>
        <w:t>; p</w:t>
      </w:r>
      <w:r w:rsidRPr="00C648AB">
        <w:t xml:space="preserve">re-release MAT services </w:t>
      </w:r>
      <w:r>
        <w:t>will be provided</w:t>
      </w:r>
      <w:r w:rsidRPr="00C648AB">
        <w:t xml:space="preserve"> by</w:t>
      </w:r>
      <w:r>
        <w:t xml:space="preserve"> DJJ providers</w:t>
      </w:r>
      <w:r w:rsidR="005570A6">
        <w:t>,</w:t>
      </w:r>
      <w:r>
        <w:t xml:space="preserve"> and </w:t>
      </w:r>
      <w:r w:rsidRPr="00C648AB">
        <w:t>post-release MAT services delivered by community-based provider</w:t>
      </w:r>
      <w:r>
        <w:t xml:space="preserve">s under contract with the SKY program MCO; and 30-day supplies of </w:t>
      </w:r>
      <w:r w:rsidRPr="00C648AB">
        <w:t>medication</w:t>
      </w:r>
      <w:r>
        <w:t xml:space="preserve"> and/or DME will be </w:t>
      </w:r>
      <w:r w:rsidRPr="00C648AB">
        <w:t>pre</w:t>
      </w:r>
      <w:r>
        <w:t>scribed by DJJ</w:t>
      </w:r>
      <w:r w:rsidRPr="00C648AB">
        <w:t xml:space="preserve"> clinical provider</w:t>
      </w:r>
      <w:r>
        <w:t>s and dispensed on</w:t>
      </w:r>
      <w:r w:rsidR="005570A6">
        <w:t xml:space="preserve"> </w:t>
      </w:r>
      <w:r>
        <w:t>site upon release.</w:t>
      </w:r>
      <w:r w:rsidR="00B130AB">
        <w:t xml:space="preserve"> </w:t>
      </w:r>
    </w:p>
    <w:p w14:paraId="1F8B3531" w14:textId="2DDE1D9B" w:rsidR="000C680C" w:rsidRDefault="000C680C" w:rsidP="00272214">
      <w:r>
        <w:t>All services provided within a state prison or YDC will be delivered in</w:t>
      </w:r>
      <w:r w:rsidR="005570A6">
        <w:t xml:space="preserve"> </w:t>
      </w:r>
      <w:r>
        <w:t>person or via telehealth (must consist of both audio and video).</w:t>
      </w:r>
      <w:r w:rsidR="00B130AB">
        <w:t xml:space="preserve"> </w:t>
      </w:r>
      <w:r>
        <w:t xml:space="preserve">Concerning </w:t>
      </w:r>
      <w:r w:rsidRPr="00905C4B">
        <w:t>Medicaid</w:t>
      </w:r>
      <w:r w:rsidR="005570A6">
        <w:t>-</w:t>
      </w:r>
      <w:r w:rsidRPr="00905C4B">
        <w:t xml:space="preserve">eligible adults participating in the </w:t>
      </w:r>
      <w:r>
        <w:t>BHCDP, RRSS will be delivered by community-based providers contracting with a Kentucky Medicaid MCO.</w:t>
      </w:r>
      <w:r w:rsidR="00B130AB">
        <w:t xml:space="preserve"> </w:t>
      </w:r>
    </w:p>
    <w:p w14:paraId="3A84574B" w14:textId="77777777" w:rsidR="000C680C" w:rsidRPr="002B03C9" w:rsidRDefault="000C680C" w:rsidP="00D038D6">
      <w:pPr>
        <w:pStyle w:val="Heading2"/>
      </w:pPr>
      <w:bookmarkStart w:id="3" w:name="_Toc150417353"/>
      <w:r>
        <w:t xml:space="preserve">Section I.B. </w:t>
      </w:r>
      <w:r w:rsidRPr="002B03C9">
        <w:t>Rationale for Proposed Demonstration</w:t>
      </w:r>
      <w:bookmarkEnd w:id="3"/>
    </w:p>
    <w:p w14:paraId="02159E75" w14:textId="089BB3EE" w:rsidR="000C680C" w:rsidRDefault="000C680C" w:rsidP="00272214">
      <w:r>
        <w:t>The rationale for Kentucky’s reentry waiver request is based on a set of complex and interrelated variables.</w:t>
      </w:r>
      <w:r w:rsidR="00B130AB">
        <w:t xml:space="preserve"> </w:t>
      </w:r>
      <w:r>
        <w:t>Not only do incarcerated individuals face di</w:t>
      </w:r>
      <w:r w:rsidRPr="007C0DFE">
        <w:t xml:space="preserve">sproportionate rates of mental </w:t>
      </w:r>
      <w:r>
        <w:t>health issues</w:t>
      </w:r>
      <w:r w:rsidRPr="007C0DFE">
        <w:t xml:space="preserve">, suicide, </w:t>
      </w:r>
      <w:r>
        <w:t>SUD</w:t>
      </w:r>
      <w:r w:rsidRPr="007C0DFE">
        <w:t>, disabilities, and physical disorders</w:t>
      </w:r>
      <w:r>
        <w:t xml:space="preserve">, the barriers they face upon reentry further exacerbate their underlying health conditions and complicate </w:t>
      </w:r>
      <w:r w:rsidRPr="007C0DFE">
        <w:t>health and justice outcomes</w:t>
      </w:r>
      <w:r>
        <w:t xml:space="preserve"> for both the individual and the community.</w:t>
      </w:r>
      <w:r w:rsidR="00B130AB">
        <w:t xml:space="preserve"> </w:t>
      </w:r>
      <w:r w:rsidR="00C352D1">
        <w:t>I</w:t>
      </w:r>
      <w:r w:rsidR="000E39A1">
        <w:t>n the narrative that follows, Kentucky</w:t>
      </w:r>
      <w:r w:rsidR="00C352D1">
        <w:t xml:space="preserve"> describes specific challenges regarding increasing incarceration rates, the health status of incarcerated individuals, and the SUD crisis that faces the Comm</w:t>
      </w:r>
      <w:r w:rsidR="000E39A1">
        <w:t>onwealth. Despite challenges, Kentucky</w:t>
      </w:r>
      <w:r w:rsidR="00C352D1">
        <w:t xml:space="preserve"> describes how the </w:t>
      </w:r>
      <w:r w:rsidR="00050D00">
        <w:t>Proposed Reentry Demonstration</w:t>
      </w:r>
      <w:r w:rsidR="00C352D1">
        <w:t xml:space="preserve"> request, with input from stakeholders to inform the proposal, will bolster the Commonwealth’s effor</w:t>
      </w:r>
      <w:r w:rsidR="000E39A1">
        <w:t>ts to address these challenges</w:t>
      </w:r>
      <w:r w:rsidR="00C352D1">
        <w:t>.</w:t>
      </w:r>
    </w:p>
    <w:p w14:paraId="126CA98D" w14:textId="77777777" w:rsidR="000C680C" w:rsidRPr="00CA7468" w:rsidRDefault="000C680C" w:rsidP="00CA7468">
      <w:pPr>
        <w:pStyle w:val="Heading3"/>
      </w:pPr>
      <w:bookmarkStart w:id="4" w:name="_Toc150417354"/>
      <w:r w:rsidRPr="00CA7468">
        <w:t>Increasing Incarceration Rates</w:t>
      </w:r>
      <w:bookmarkEnd w:id="4"/>
    </w:p>
    <w:p w14:paraId="6DB13ECB" w14:textId="77777777" w:rsidR="000C680C" w:rsidRDefault="000C680C" w:rsidP="00272214">
      <w:r>
        <w:t xml:space="preserve">Nearly </w:t>
      </w:r>
      <w:r w:rsidR="00D90FE0">
        <w:t>two</w:t>
      </w:r>
      <w:r>
        <w:t xml:space="preserve"> million people are incarcerated in prisons and jails nationwide, and incarceration rates have increased 220</w:t>
      </w:r>
      <w:r w:rsidR="00D90FE0">
        <w:t xml:space="preserve"> percent</w:t>
      </w:r>
      <w:r>
        <w:t xml:space="preserve"> since 1980.</w:t>
      </w:r>
      <w:r>
        <w:rPr>
          <w:rStyle w:val="FootnoteReference"/>
        </w:rPr>
        <w:footnoteReference w:id="5"/>
      </w:r>
      <w:r w:rsidR="00B130AB">
        <w:t xml:space="preserve"> </w:t>
      </w:r>
      <w:r>
        <w:t>The United States</w:t>
      </w:r>
      <w:r w:rsidR="00B2221C">
        <w:t xml:space="preserve"> (U.S.)</w:t>
      </w:r>
      <w:r>
        <w:t xml:space="preserve"> imprisons </w:t>
      </w:r>
      <w:r w:rsidRPr="00507549">
        <w:t>350 people per 100,000</w:t>
      </w:r>
      <w:r>
        <w:t xml:space="preserve"> residents.</w:t>
      </w:r>
      <w:r>
        <w:rPr>
          <w:rStyle w:val="FootnoteReference"/>
        </w:rPr>
        <w:footnoteReference w:id="6"/>
      </w:r>
      <w:r w:rsidR="00B130AB">
        <w:t xml:space="preserve"> </w:t>
      </w:r>
      <w:r>
        <w:t>While incarceration rates declined by 16</w:t>
      </w:r>
      <w:r w:rsidR="00D90FE0">
        <w:t xml:space="preserve"> percent</w:t>
      </w:r>
      <w:r>
        <w:t xml:space="preserve"> in prisons during the COVID-19 pandemic, this decrease has not been sustained, and prison populations have begun to rebound to pre-pandemic levels.</w:t>
      </w:r>
      <w:r>
        <w:rPr>
          <w:rStyle w:val="FootnoteReference"/>
        </w:rPr>
        <w:footnoteReference w:id="7"/>
      </w:r>
      <w:r w:rsidR="00B130AB">
        <w:t xml:space="preserve"> </w:t>
      </w:r>
      <w:r>
        <w:t>Further, fewer people were released from prisons and jails during the pandemic.</w:t>
      </w:r>
      <w:r>
        <w:rPr>
          <w:rStyle w:val="FootnoteReference"/>
        </w:rPr>
        <w:footnoteReference w:id="8"/>
      </w:r>
      <w:r w:rsidR="00B130AB">
        <w:t xml:space="preserve"> </w:t>
      </w:r>
      <w:r>
        <w:t xml:space="preserve">On average, the </w:t>
      </w:r>
      <w:r w:rsidR="00B2221C">
        <w:t>U.S.</w:t>
      </w:r>
      <w:r>
        <w:t xml:space="preserve"> releases </w:t>
      </w:r>
      <w:r w:rsidR="00D90FE0">
        <w:t xml:space="preserve">seven </w:t>
      </w:r>
      <w:r>
        <w:t>million people from jails and 600,000 people from prisons annually.</w:t>
      </w:r>
      <w:r>
        <w:rPr>
          <w:rStyle w:val="FootnoteReference"/>
        </w:rPr>
        <w:footnoteReference w:id="9"/>
      </w:r>
      <w:r w:rsidR="00B130AB">
        <w:t xml:space="preserve"> </w:t>
      </w:r>
      <w:r>
        <w:t>However, this number decreased by 10</w:t>
      </w:r>
      <w:r w:rsidR="00D90FE0">
        <w:t xml:space="preserve"> percent</w:t>
      </w:r>
      <w:r>
        <w:t xml:space="preserve"> during the </w:t>
      </w:r>
      <w:r>
        <w:lastRenderedPageBreak/>
        <w:t>pandemic.</w:t>
      </w:r>
      <w:r>
        <w:rPr>
          <w:rStyle w:val="FootnoteReference"/>
        </w:rPr>
        <w:footnoteReference w:id="10"/>
      </w:r>
      <w:r w:rsidR="00B130AB">
        <w:t xml:space="preserve"> </w:t>
      </w:r>
      <w:r>
        <w:t>Additionally, recidivism rates are at an all-time high.</w:t>
      </w:r>
      <w:r w:rsidR="00B130AB">
        <w:t xml:space="preserve"> </w:t>
      </w:r>
      <w:r>
        <w:t>Research shows that within two years of release, two out of every three people are rearrested, and more than 50</w:t>
      </w:r>
      <w:r w:rsidR="00D90FE0">
        <w:t xml:space="preserve"> percent</w:t>
      </w:r>
      <w:r>
        <w:t xml:space="preserve"> are re-incarcerated.</w:t>
      </w:r>
      <w:r>
        <w:rPr>
          <w:rStyle w:val="FootnoteReference"/>
        </w:rPr>
        <w:footnoteReference w:id="11"/>
      </w:r>
      <w:r w:rsidR="00B130AB">
        <w:t xml:space="preserve"> </w:t>
      </w:r>
    </w:p>
    <w:p w14:paraId="43C2E7E8" w14:textId="77777777" w:rsidR="000C680C" w:rsidRDefault="000C680C" w:rsidP="00272214">
      <w:r>
        <w:t>Overall i</w:t>
      </w:r>
      <w:r w:rsidRPr="004028E9">
        <w:t xml:space="preserve">ncarceration rates of juvenile offenders in the </w:t>
      </w:r>
      <w:r w:rsidR="00B2221C">
        <w:t>U.S.</w:t>
      </w:r>
      <w:r w:rsidRPr="004028E9">
        <w:t xml:space="preserve"> have </w:t>
      </w:r>
      <w:r>
        <w:t>been declining since 2010</w:t>
      </w:r>
      <w:r w:rsidRPr="004028E9">
        <w:t>.</w:t>
      </w:r>
      <w:r>
        <w:rPr>
          <w:rStyle w:val="FootnoteReference"/>
        </w:rPr>
        <w:footnoteReference w:id="12"/>
      </w:r>
      <w:r w:rsidR="00B130AB">
        <w:t xml:space="preserve"> </w:t>
      </w:r>
      <w:r>
        <w:t>In 2020</w:t>
      </w:r>
      <w:r w:rsidRPr="004028E9">
        <w:t xml:space="preserve">, an estimated </w:t>
      </w:r>
      <w:r>
        <w:t>37,500 juveniles were detained in residential placements, the lowest rate since 1997</w:t>
      </w:r>
      <w:r w:rsidRPr="004028E9">
        <w:t>.</w:t>
      </w:r>
      <w:r>
        <w:rPr>
          <w:rStyle w:val="FootnoteReference"/>
        </w:rPr>
        <w:footnoteReference w:id="13"/>
      </w:r>
      <w:r w:rsidR="00B130AB">
        <w:t xml:space="preserve"> </w:t>
      </w:r>
      <w:r>
        <w:t xml:space="preserve">However, </w:t>
      </w:r>
      <w:r w:rsidR="00B2221C">
        <w:t>U.S.</w:t>
      </w:r>
      <w:r>
        <w:t xml:space="preserve"> law enforcement continues to arrest 1.3 million individuals</w:t>
      </w:r>
      <w:r w:rsidRPr="004028E9">
        <w:t xml:space="preserve"> under the age of 18 per year.</w:t>
      </w:r>
      <w:r>
        <w:rPr>
          <w:rStyle w:val="FootnoteReference"/>
        </w:rPr>
        <w:footnoteReference w:id="14"/>
      </w:r>
      <w:r w:rsidR="00B130AB">
        <w:t xml:space="preserve"> </w:t>
      </w:r>
      <w:r>
        <w:t>The effects of arrest and incarceration can be especially devastating for juveniles, and recidivism rates are high for the population, especially among those with SUD.</w:t>
      </w:r>
      <w:r>
        <w:rPr>
          <w:rStyle w:val="FootnoteReference"/>
        </w:rPr>
        <w:footnoteReference w:id="15"/>
      </w:r>
      <w:r w:rsidR="00B130AB">
        <w:t xml:space="preserve"> </w:t>
      </w:r>
      <w:r>
        <w:t xml:space="preserve">For example, it has been reported that </w:t>
      </w:r>
      <w:r w:rsidR="000000C2">
        <w:t>55</w:t>
      </w:r>
      <w:r>
        <w:t xml:space="preserve"> percent of juveniles are rearrested within one year post-release, and 24</w:t>
      </w:r>
      <w:r w:rsidR="000000C2">
        <w:t xml:space="preserve"> percent</w:t>
      </w:r>
      <w:r>
        <w:t xml:space="preserve"> are re-incarcerated.</w:t>
      </w:r>
      <w:r>
        <w:rPr>
          <w:rStyle w:val="FootnoteReference"/>
        </w:rPr>
        <w:footnoteReference w:id="16"/>
      </w:r>
      <w:r w:rsidR="00B130AB">
        <w:t xml:space="preserve"> </w:t>
      </w:r>
      <w:r>
        <w:t>Further, juveniles that are in the justice system at a young age are more likely to commit offenses into adulthood.</w:t>
      </w:r>
      <w:r w:rsidR="00B130AB">
        <w:t xml:space="preserve"> </w:t>
      </w:r>
      <w:r w:rsidRPr="004028E9">
        <w:t xml:space="preserve">Of the </w:t>
      </w:r>
      <w:r>
        <w:t>juveniles</w:t>
      </w:r>
      <w:r w:rsidRPr="004028E9">
        <w:t xml:space="preserve"> that are arrested each year, an estimated 80</w:t>
      </w:r>
      <w:r w:rsidR="000000C2">
        <w:t xml:space="preserve"> percent</w:t>
      </w:r>
      <w:r w:rsidRPr="004028E9">
        <w:t xml:space="preserve"> will face incarceration as an adult.</w:t>
      </w:r>
      <w:r>
        <w:rPr>
          <w:rStyle w:val="FootnoteReference"/>
        </w:rPr>
        <w:footnoteReference w:id="17"/>
      </w:r>
      <w:r>
        <w:t xml:space="preserve"> </w:t>
      </w:r>
    </w:p>
    <w:p w14:paraId="27479A5B" w14:textId="77777777" w:rsidR="000C680C" w:rsidRDefault="000C680C" w:rsidP="00272214">
      <w:r>
        <w:t>Kentucky has also seen a dramatic increase in incarceration rates over the last 40 years.</w:t>
      </w:r>
      <w:r w:rsidR="00B130AB">
        <w:t xml:space="preserve"> </w:t>
      </w:r>
      <w:r>
        <w:t>In 1980, nearly 4,000 people were imprisoned in Kentucky, compared to the nearly 19,000 that were imprisoned in 2020.</w:t>
      </w:r>
      <w:r>
        <w:rPr>
          <w:rStyle w:val="FootnoteReference"/>
        </w:rPr>
        <w:footnoteReference w:id="18"/>
      </w:r>
      <w:r w:rsidR="00B130AB">
        <w:t xml:space="preserve"> </w:t>
      </w:r>
      <w:r>
        <w:t>Kentucky has an incarceration rate of 414 per 100,000 residents.</w:t>
      </w:r>
      <w:r>
        <w:rPr>
          <w:rStyle w:val="FootnoteReference"/>
        </w:rPr>
        <w:footnoteReference w:id="19"/>
      </w:r>
      <w:r w:rsidR="00B130AB">
        <w:t xml:space="preserve"> </w:t>
      </w:r>
      <w:r>
        <w:t>The increased rates of incarceration are not a result of increased crime rates; rather, the rates are a direct result of changes in sentencing law and policy.</w:t>
      </w:r>
      <w:r>
        <w:rPr>
          <w:rStyle w:val="FootnoteReference"/>
        </w:rPr>
        <w:footnoteReference w:id="20"/>
      </w:r>
      <w:r w:rsidR="00B130AB">
        <w:t xml:space="preserve"> </w:t>
      </w:r>
      <w:r>
        <w:t>As described in greater detail below, the Commonwealth has taken significant measures to combat these issues by passing legislation aimed to reduce incarceration rates for certain drug-related offenses.</w:t>
      </w:r>
      <w:r w:rsidR="00B130AB">
        <w:t xml:space="preserve"> </w:t>
      </w:r>
      <w:r>
        <w:t>In contrast to the adult population, the number of youth arrests and incarcerations in Kentucky has been in steady decline.</w:t>
      </w:r>
      <w:r w:rsidR="00B130AB">
        <w:t xml:space="preserve"> </w:t>
      </w:r>
      <w:r>
        <w:t>Since 2016, detention intakes in Kentucky decreased by 57</w:t>
      </w:r>
      <w:r w:rsidR="00B2221C">
        <w:t xml:space="preserve"> percent</w:t>
      </w:r>
      <w:r>
        <w:t>.</w:t>
      </w:r>
      <w:r>
        <w:rPr>
          <w:rStyle w:val="FootnoteReference"/>
        </w:rPr>
        <w:footnoteReference w:id="21"/>
      </w:r>
      <w:r w:rsidR="00B130AB">
        <w:t xml:space="preserve"> </w:t>
      </w:r>
      <w:r>
        <w:t>In 2021, 218 juveniles were detained in out-of-home placements, compared to the 359 individuals that were detained in 2016.</w:t>
      </w:r>
      <w:r>
        <w:rPr>
          <w:rStyle w:val="FootnoteReference"/>
        </w:rPr>
        <w:footnoteReference w:id="22"/>
      </w:r>
      <w:r w:rsidR="00B130AB">
        <w:t xml:space="preserve"> </w:t>
      </w:r>
    </w:p>
    <w:p w14:paraId="00F95E31" w14:textId="77777777" w:rsidR="000C680C" w:rsidRDefault="000C680C" w:rsidP="00CA7468">
      <w:pPr>
        <w:pStyle w:val="Heading3"/>
      </w:pPr>
      <w:bookmarkStart w:id="5" w:name="_Toc150417355"/>
      <w:r w:rsidRPr="002B03C9">
        <w:t>Health Status</w:t>
      </w:r>
      <w:r>
        <w:t xml:space="preserve"> of Incarcerated Individuals</w:t>
      </w:r>
      <w:bookmarkEnd w:id="5"/>
    </w:p>
    <w:p w14:paraId="799F3C10" w14:textId="77777777" w:rsidR="000C680C" w:rsidRDefault="000C680C" w:rsidP="00272214">
      <w:r>
        <w:t>Incarcerated individuals are more likely to suffer from physical and mental health-related issues than non-justice</w:t>
      </w:r>
      <w:r w:rsidR="004166A7">
        <w:t>-</w:t>
      </w:r>
      <w:r>
        <w:t>involved individuals.</w:t>
      </w:r>
      <w:r w:rsidR="00B130AB">
        <w:t xml:space="preserve"> </w:t>
      </w:r>
      <w:r>
        <w:t xml:space="preserve">Nearly half of individuals in prisons have a history of </w:t>
      </w:r>
      <w:r>
        <w:lastRenderedPageBreak/>
        <w:t>mental health disorder, while 17</w:t>
      </w:r>
      <w:r w:rsidR="00B2221C">
        <w:t xml:space="preserve"> percent</w:t>
      </w:r>
      <w:r>
        <w:t xml:space="preserve"> suffer from </w:t>
      </w:r>
      <w:r w:rsidR="00B2221C">
        <w:t xml:space="preserve">an </w:t>
      </w:r>
      <w:r>
        <w:t>SMI.</w:t>
      </w:r>
      <w:r>
        <w:rPr>
          <w:rStyle w:val="FootnoteReference"/>
          <w:bCs/>
          <w:iCs/>
        </w:rPr>
        <w:footnoteReference w:id="23"/>
      </w:r>
      <w:r w:rsidR="00B130AB">
        <w:t xml:space="preserve"> </w:t>
      </w:r>
      <w:r>
        <w:t>Similarly, incarcerated individuals are more likely to suffer from chronic health conditions such as high blood pressure, hypertension, asthma, cancer, arthritis, tuberculosis, hepatitis, and HIV.</w:t>
      </w:r>
      <w:r>
        <w:rPr>
          <w:rStyle w:val="FootnoteReference"/>
          <w:bCs/>
          <w:iCs/>
        </w:rPr>
        <w:footnoteReference w:id="24"/>
      </w:r>
      <w:r w:rsidR="00B130AB">
        <w:t xml:space="preserve"> </w:t>
      </w:r>
      <w:r>
        <w:t>Due to the prevalent physical and mental health issues among incarcerated individuals, overall U.S. life expectancy has declined by two years.</w:t>
      </w:r>
      <w:r>
        <w:rPr>
          <w:rStyle w:val="FootnoteReference"/>
          <w:bCs/>
          <w:iCs/>
        </w:rPr>
        <w:footnoteReference w:id="25"/>
      </w:r>
      <w:r w:rsidR="00B130AB">
        <w:t xml:space="preserve"> </w:t>
      </w:r>
      <w:r>
        <w:t>To put a finer point on this, within the first two weeks post-release, justice-involved individuals are 12 times more likely to die from a physical or mental health-related issue than the general population.</w:t>
      </w:r>
      <w:r>
        <w:rPr>
          <w:rStyle w:val="FootnoteReference"/>
          <w:bCs/>
          <w:iCs/>
        </w:rPr>
        <w:footnoteReference w:id="26"/>
      </w:r>
    </w:p>
    <w:p w14:paraId="6CD02FD7" w14:textId="77777777" w:rsidR="000C680C" w:rsidRDefault="000C680C" w:rsidP="00272214">
      <w:r>
        <w:t xml:space="preserve">Additionally, the inmate population is aging more rapidly than the </w:t>
      </w:r>
      <w:proofErr w:type="gramStart"/>
      <w:r>
        <w:t>general public</w:t>
      </w:r>
      <w:proofErr w:type="gramEnd"/>
      <w:r>
        <w:t>, and as a result, the health status of the incarcerated population is declining.</w:t>
      </w:r>
      <w:r w:rsidR="00B130AB">
        <w:t xml:space="preserve"> </w:t>
      </w:r>
      <w:r>
        <w:t>Sixteen percent of incarcerated individuals are 55 years or older.</w:t>
      </w:r>
      <w:r>
        <w:rPr>
          <w:rStyle w:val="FootnoteReference"/>
        </w:rPr>
        <w:footnoteReference w:id="27"/>
      </w:r>
      <w:r w:rsidR="00B130AB">
        <w:t xml:space="preserve"> </w:t>
      </w:r>
      <w:r>
        <w:t>Older individuals are more likely than younger individuals to suffer from chronic health conditions.</w:t>
      </w:r>
      <w:r>
        <w:rPr>
          <w:rStyle w:val="FootnoteReference"/>
          <w:bCs/>
          <w:iCs/>
        </w:rPr>
        <w:footnoteReference w:id="28"/>
      </w:r>
      <w:r w:rsidR="00B130AB">
        <w:t xml:space="preserve"> </w:t>
      </w:r>
      <w:r>
        <w:t>The aging population is placing an additional burden on health</w:t>
      </w:r>
      <w:r w:rsidR="004C284B">
        <w:t xml:space="preserve"> </w:t>
      </w:r>
      <w:r>
        <w:t>care systems within carceral facilities.</w:t>
      </w:r>
      <w:r w:rsidR="00B130AB">
        <w:t xml:space="preserve"> </w:t>
      </w:r>
      <w:r>
        <w:t>Additionally, the current health</w:t>
      </w:r>
      <w:r w:rsidR="004C284B">
        <w:t xml:space="preserve"> </w:t>
      </w:r>
      <w:r>
        <w:t>care system within carceral facilities is reactive, and individuals are treated for acute health conditions rather than receiving preventive health</w:t>
      </w:r>
      <w:r w:rsidR="004C284B">
        <w:t xml:space="preserve"> </w:t>
      </w:r>
      <w:r>
        <w:t>care or treatment for chronic health issues.</w:t>
      </w:r>
      <w:r>
        <w:rPr>
          <w:rStyle w:val="FootnoteReference"/>
          <w:bCs/>
          <w:iCs/>
        </w:rPr>
        <w:footnoteReference w:id="29"/>
      </w:r>
      <w:r w:rsidR="00B130AB">
        <w:t xml:space="preserve"> </w:t>
      </w:r>
      <w:r>
        <w:t>The absence of a preventive health system, in conjunction with the aging inmate population, exacerbates the disproportionate rates of chronic health conditions among incarcerated individuals and places additional burdens on current health</w:t>
      </w:r>
      <w:r w:rsidR="005778AB">
        <w:t xml:space="preserve"> </w:t>
      </w:r>
      <w:r>
        <w:t>care systems.</w:t>
      </w:r>
    </w:p>
    <w:p w14:paraId="09C8446B" w14:textId="77777777" w:rsidR="000C680C" w:rsidRPr="00C45182" w:rsidRDefault="000C680C" w:rsidP="00272214">
      <w:r>
        <w:t xml:space="preserve">Health status also plays a critical role in youth incarceration, both </w:t>
      </w:r>
      <w:proofErr w:type="gramStart"/>
      <w:r>
        <w:t>pre</w:t>
      </w:r>
      <w:proofErr w:type="gramEnd"/>
      <w:r>
        <w:t xml:space="preserve"> and post-release.</w:t>
      </w:r>
      <w:r w:rsidR="00B130AB">
        <w:t xml:space="preserve"> </w:t>
      </w:r>
      <w:r>
        <w:t>To begin with, juvenile offenders are more likely to have a history of adverse childhood experiences.</w:t>
      </w:r>
      <w:r w:rsidR="00B130AB">
        <w:t xml:space="preserve"> </w:t>
      </w:r>
      <w:r>
        <w:t>Over 90</w:t>
      </w:r>
      <w:r w:rsidR="005778AB">
        <w:t xml:space="preserve"> percent</w:t>
      </w:r>
      <w:r>
        <w:t xml:space="preserve"> of juvenile offenders h</w:t>
      </w:r>
      <w:r w:rsidRPr="00E25F92">
        <w:t>ave experienced</w:t>
      </w:r>
      <w:r>
        <w:t xml:space="preserve"> at least one traumatic event in their lifetimes, such as witnessing violence, suffering from physical or sexual abuse, or experiencing serious accidents, illnesses, or diseases.</w:t>
      </w:r>
      <w:r>
        <w:rPr>
          <w:rStyle w:val="FootnoteReference"/>
        </w:rPr>
        <w:footnoteReference w:id="30"/>
      </w:r>
      <w:r w:rsidR="00B130AB">
        <w:t xml:space="preserve"> </w:t>
      </w:r>
      <w:r>
        <w:t>Further, incarcerated youth are more likely than the general population to suffer from mental health disorders and have high rates of unmet medical needs.</w:t>
      </w:r>
      <w:r w:rsidR="00B130AB">
        <w:t xml:space="preserve"> </w:t>
      </w:r>
      <w:r>
        <w:t>Seventy percent of juvenile offenders suffer from at least one diagnosable mental health disorder, and 30</w:t>
      </w:r>
      <w:r w:rsidR="005778AB">
        <w:t xml:space="preserve"> percent</w:t>
      </w:r>
      <w:r>
        <w:t xml:space="preserve"> of those experience severe mental health disorders</w:t>
      </w:r>
      <w:r w:rsidRPr="00E25F92">
        <w:t>.</w:t>
      </w:r>
      <w:r>
        <w:rPr>
          <w:rStyle w:val="FootnoteReference"/>
        </w:rPr>
        <w:footnoteReference w:id="31"/>
      </w:r>
      <w:r w:rsidR="00B130AB">
        <w:t xml:space="preserve"> </w:t>
      </w:r>
      <w:r w:rsidRPr="00E25F92">
        <w:t>Additionally, 46</w:t>
      </w:r>
      <w:r w:rsidR="005778AB">
        <w:t xml:space="preserve"> percent</w:t>
      </w:r>
      <w:r w:rsidRPr="00E25F92">
        <w:t xml:space="preserve"> of juvenile offenders have at least one urgent medical need that requir</w:t>
      </w:r>
      <w:r>
        <w:t xml:space="preserve">es immediate attention, and </w:t>
      </w:r>
      <w:r w:rsidRPr="00E25F92">
        <w:t>12</w:t>
      </w:r>
      <w:r w:rsidR="005778AB">
        <w:t xml:space="preserve"> percent</w:t>
      </w:r>
      <w:r w:rsidRPr="00E25F92">
        <w:t xml:space="preserve"> of juvenile offenders are </w:t>
      </w:r>
      <w:r>
        <w:t>expecting</w:t>
      </w:r>
      <w:r w:rsidRPr="00E25F92">
        <w:t xml:space="preserve"> a child of their own.</w:t>
      </w:r>
      <w:r>
        <w:rPr>
          <w:rStyle w:val="FootnoteReference"/>
        </w:rPr>
        <w:footnoteReference w:id="32"/>
      </w:r>
      <w:r w:rsidR="00B130AB">
        <w:t xml:space="preserve"> </w:t>
      </w:r>
      <w:r>
        <w:t>Similarly to adult offenders, the effects of incarceration have a negative impact on the health of juveniles.</w:t>
      </w:r>
      <w:r w:rsidR="00B130AB">
        <w:t xml:space="preserve"> </w:t>
      </w:r>
      <w:r>
        <w:t xml:space="preserve">Any incarceration during adolescence leads to worse general health, higher rates of stress-related illnesses like </w:t>
      </w:r>
      <w:r>
        <w:lastRenderedPageBreak/>
        <w:t>hypertension, and higher likelihood of obesity in adulthood.</w:t>
      </w:r>
      <w:r>
        <w:rPr>
          <w:rStyle w:val="FootnoteReference"/>
        </w:rPr>
        <w:footnoteReference w:id="33"/>
      </w:r>
      <w:r w:rsidR="00B130AB">
        <w:t xml:space="preserve"> </w:t>
      </w:r>
      <w:r>
        <w:t>Additionally</w:t>
      </w:r>
      <w:r w:rsidRPr="00E25F92">
        <w:t xml:space="preserve">, incarcerated youth are more likely to have worse mental health as an adult, </w:t>
      </w:r>
      <w:r>
        <w:t xml:space="preserve">such as high rates of depression </w:t>
      </w:r>
      <w:r w:rsidRPr="00E25F92">
        <w:t>and suicidal thoughts.</w:t>
      </w:r>
      <w:r>
        <w:rPr>
          <w:rStyle w:val="FootnoteReference"/>
        </w:rPr>
        <w:footnoteReference w:id="34"/>
      </w:r>
      <w:r>
        <w:t xml:space="preserve"> </w:t>
      </w:r>
    </w:p>
    <w:p w14:paraId="62F57358" w14:textId="77777777" w:rsidR="000C680C" w:rsidRPr="002B03C9" w:rsidRDefault="000C680C" w:rsidP="00272214">
      <w:pPr>
        <w:rPr>
          <w:b/>
          <w:i/>
        </w:rPr>
      </w:pPr>
      <w:r w:rsidRPr="001C3DA1">
        <w:t>Incarcerated individuals in Kentucky face similar health risks to the larger U.S. inmate population.</w:t>
      </w:r>
      <w:r w:rsidR="00B130AB">
        <w:t xml:space="preserve"> </w:t>
      </w:r>
      <w:r>
        <w:t>For example, r</w:t>
      </w:r>
      <w:r w:rsidRPr="001C3DA1">
        <w:t>esearch shows that two in five adults</w:t>
      </w:r>
      <w:r>
        <w:t xml:space="preserve"> incarcerated</w:t>
      </w:r>
      <w:r w:rsidRPr="001C3DA1">
        <w:t xml:space="preserve"> in Kentucky have a history of mental illness.</w:t>
      </w:r>
      <w:r w:rsidRPr="001C3DA1">
        <w:rPr>
          <w:rStyle w:val="FootnoteReference"/>
          <w:bCs/>
          <w:iCs/>
        </w:rPr>
        <w:footnoteReference w:id="35"/>
      </w:r>
      <w:r w:rsidR="00B130AB">
        <w:t xml:space="preserve"> </w:t>
      </w:r>
      <w:r>
        <w:t>Further</w:t>
      </w:r>
      <w:r w:rsidRPr="001C3DA1">
        <w:t xml:space="preserve">, one in four individuals with </w:t>
      </w:r>
      <w:r w:rsidR="00FD19A8">
        <w:t xml:space="preserve">an </w:t>
      </w:r>
      <w:r w:rsidRPr="001C3DA1">
        <w:t xml:space="preserve">SMI has been arrested at some point in their lifetimes, leading to </w:t>
      </w:r>
      <w:r w:rsidR="00FD19A8">
        <w:t>two</w:t>
      </w:r>
      <w:r w:rsidRPr="001C3DA1">
        <w:t xml:space="preserve"> million bookings of individuals with SMI each year.</w:t>
      </w:r>
      <w:r w:rsidRPr="001C3DA1">
        <w:rPr>
          <w:rStyle w:val="FootnoteReference"/>
          <w:bCs/>
          <w:iCs/>
        </w:rPr>
        <w:footnoteReference w:id="36"/>
      </w:r>
      <w:r w:rsidR="00B130AB">
        <w:t xml:space="preserve"> </w:t>
      </w:r>
      <w:r w:rsidRPr="001C3DA1">
        <w:t>The leading causes of death for Kentucky inmates are heart disease, cancer, liver disease, respiratory disease, and suicide</w:t>
      </w:r>
      <w:r>
        <w:t xml:space="preserve"> and, a</w:t>
      </w:r>
      <w:r w:rsidRPr="001C3DA1">
        <w:t>ccording to a report conducted in 2019, Kentucky is one of five states that has a prison mortality rate of at least 500 per 100,000 state prisoners.</w:t>
      </w:r>
      <w:r w:rsidRPr="001C3DA1">
        <w:rPr>
          <w:rStyle w:val="FootnoteReference"/>
          <w:bCs/>
          <w:iCs/>
        </w:rPr>
        <w:footnoteReference w:id="37"/>
      </w:r>
      <w:r w:rsidR="00B130AB">
        <w:t xml:space="preserve"> </w:t>
      </w:r>
      <w:r w:rsidRPr="001C3DA1">
        <w:t xml:space="preserve">Studies conducted after the pandemic </w:t>
      </w:r>
      <w:r>
        <w:t xml:space="preserve">also </w:t>
      </w:r>
      <w:r w:rsidRPr="001C3DA1">
        <w:t xml:space="preserve">show that the COVID-19 test positivity rate in Kentucky prisons was 22.5 per 100 tests, ranking Kentucky </w:t>
      </w:r>
      <w:r w:rsidR="00FD19A8">
        <w:t>sixth</w:t>
      </w:r>
      <w:r w:rsidRPr="001C3DA1">
        <w:t xml:space="preserve"> among states in COVID-19 positivity.</w:t>
      </w:r>
      <w:r w:rsidR="00B130AB">
        <w:t xml:space="preserve"> </w:t>
      </w:r>
      <w:r w:rsidRPr="001C3DA1">
        <w:t>The COVID-19 mortality rates among Kentucky inmates were 1.4 deaths per 1,000 prisoners</w:t>
      </w:r>
      <w:r>
        <w:t xml:space="preserve">, making the Commonwealth </w:t>
      </w:r>
      <w:r w:rsidRPr="001C3DA1">
        <w:t>25</w:t>
      </w:r>
      <w:r w:rsidRPr="001C3DA1">
        <w:rPr>
          <w:vertAlign w:val="superscript"/>
        </w:rPr>
        <w:t>th</w:t>
      </w:r>
      <w:r w:rsidRPr="001C3DA1">
        <w:t xml:space="preserve"> among states in COVID-19 mortality rates.</w:t>
      </w:r>
      <w:r w:rsidRPr="001C3DA1">
        <w:rPr>
          <w:rStyle w:val="FootnoteReference"/>
          <w:bCs/>
          <w:iCs/>
        </w:rPr>
        <w:footnoteReference w:id="38"/>
      </w:r>
      <w:r>
        <w:t xml:space="preserve"> </w:t>
      </w:r>
    </w:p>
    <w:p w14:paraId="7D56D2D4" w14:textId="77777777" w:rsidR="000C680C" w:rsidRPr="002B03C9" w:rsidRDefault="000C680C" w:rsidP="00CA7468">
      <w:pPr>
        <w:pStyle w:val="Heading3"/>
      </w:pPr>
      <w:bookmarkStart w:id="6" w:name="_Toc150417356"/>
      <w:r w:rsidRPr="002B03C9">
        <w:t>Substance Use Disorder Crisis</w:t>
      </w:r>
      <w:bookmarkEnd w:id="6"/>
    </w:p>
    <w:p w14:paraId="43AD5CFD" w14:textId="6068C9F6" w:rsidR="000C680C" w:rsidRDefault="000C680C" w:rsidP="00272214">
      <w:r>
        <w:t>In recent years, SUD</w:t>
      </w:r>
      <w:r w:rsidRPr="009E6DD5">
        <w:t xml:space="preserve"> </w:t>
      </w:r>
      <w:r>
        <w:t>has become a critical public health and safety concern,</w:t>
      </w:r>
      <w:r w:rsidRPr="0007534D">
        <w:t xml:space="preserve"> affecting individuals, families</w:t>
      </w:r>
      <w:r>
        <w:t>,</w:t>
      </w:r>
      <w:r w:rsidRPr="0007534D">
        <w:t xml:space="preserve"> and</w:t>
      </w:r>
      <w:r>
        <w:t xml:space="preserve"> communities across the nation.</w:t>
      </w:r>
      <w:r w:rsidR="00B130AB">
        <w:t xml:space="preserve"> </w:t>
      </w:r>
      <w:r>
        <w:t xml:space="preserve">Not only does SUD result in significant threats to </w:t>
      </w:r>
      <w:r w:rsidRPr="0007534D">
        <w:t xml:space="preserve">health and well-being, </w:t>
      </w:r>
      <w:proofErr w:type="gramStart"/>
      <w:r>
        <w:t>it</w:t>
      </w:r>
      <w:proofErr w:type="gramEnd"/>
      <w:r>
        <w:t xml:space="preserve"> </w:t>
      </w:r>
      <w:r w:rsidRPr="0007534D">
        <w:t xml:space="preserve">creates </w:t>
      </w:r>
      <w:r>
        <w:t xml:space="preserve">considerable </w:t>
      </w:r>
      <w:r w:rsidRPr="0007534D">
        <w:t>socioeconomic burdens</w:t>
      </w:r>
      <w:r>
        <w:t xml:space="preserve">; </w:t>
      </w:r>
      <w:r w:rsidRPr="0007534D">
        <w:t xml:space="preserve">can result in </w:t>
      </w:r>
      <w:r>
        <w:t>significant clinical impairment and</w:t>
      </w:r>
      <w:r w:rsidRPr="0007534D">
        <w:t xml:space="preserve"> disability</w:t>
      </w:r>
      <w:r>
        <w:t>; and increases rates of</w:t>
      </w:r>
      <w:r w:rsidRPr="0007534D">
        <w:t xml:space="preserve"> abuse and neglect</w:t>
      </w:r>
      <w:r>
        <w:t>, as well as incarceration.</w:t>
      </w:r>
      <w:r w:rsidR="008663CE">
        <w:rPr>
          <w:rStyle w:val="CommentReference"/>
        </w:rPr>
        <w:t xml:space="preserve"> </w:t>
      </w:r>
      <w:r>
        <w:t>I</w:t>
      </w:r>
      <w:r w:rsidRPr="00FE2E27">
        <w:t xml:space="preserve">n 2021, 46.3 million people aged 12 or older </w:t>
      </w:r>
      <w:r>
        <w:t xml:space="preserve">reported an SUD in the prior year, </w:t>
      </w:r>
      <w:r w:rsidRPr="00FE2E27">
        <w:t>including 29.5 million who had an alcohol use</w:t>
      </w:r>
      <w:r>
        <w:t xml:space="preserve"> disorder, 24 </w:t>
      </w:r>
      <w:r w:rsidRPr="00FE2E27">
        <w:t>million w</w:t>
      </w:r>
      <w:r>
        <w:t xml:space="preserve">ho had a drug use disorder, and </w:t>
      </w:r>
      <w:r w:rsidRPr="00FE2E27">
        <w:t>7.3 million people who h</w:t>
      </w:r>
      <w:r>
        <w:t xml:space="preserve">ad both an alcohol use disorder </w:t>
      </w:r>
      <w:r w:rsidRPr="00FE2E27">
        <w:t>and a drug use disorder</w:t>
      </w:r>
      <w:r>
        <w:t>.</w:t>
      </w:r>
      <w:r>
        <w:rPr>
          <w:rStyle w:val="FootnoteReference"/>
        </w:rPr>
        <w:footnoteReference w:id="39"/>
      </w:r>
      <w:r w:rsidR="00B130AB">
        <w:t xml:space="preserve"> </w:t>
      </w:r>
      <w:r>
        <w:t xml:space="preserve">During the same time period in Kentucky, 615,000 people aged 12 or older reported an SUD in the prior year, </w:t>
      </w:r>
      <w:r w:rsidRPr="00FE2E27">
        <w:t xml:space="preserve">including </w:t>
      </w:r>
      <w:r>
        <w:t>331,000</w:t>
      </w:r>
      <w:r w:rsidRPr="00FE2E27">
        <w:t xml:space="preserve"> who had an alcohol use disorder, </w:t>
      </w:r>
      <w:r>
        <w:t>372,000</w:t>
      </w:r>
      <w:r w:rsidRPr="00FE2E27">
        <w:t xml:space="preserve"> who had a drug use disorder</w:t>
      </w:r>
      <w:r>
        <w:t>.</w:t>
      </w:r>
      <w:r>
        <w:rPr>
          <w:rStyle w:val="FootnoteReference"/>
        </w:rPr>
        <w:footnoteReference w:id="40"/>
      </w:r>
    </w:p>
    <w:p w14:paraId="6CD5318C" w14:textId="70EE695B" w:rsidR="000C680C" w:rsidRDefault="000C680C" w:rsidP="00272214">
      <w:r>
        <w:t>Opioid use disorder (OUD)</w:t>
      </w:r>
      <w:proofErr w:type="gramStart"/>
      <w:r w:rsidR="00CC1451">
        <w:t>,</w:t>
      </w:r>
      <w:r>
        <w:t xml:space="preserve"> in particular</w:t>
      </w:r>
      <w:r w:rsidR="00CC1451">
        <w:t>,</w:t>
      </w:r>
      <w:r>
        <w:t xml:space="preserve"> has</w:t>
      </w:r>
      <w:proofErr w:type="gramEnd"/>
      <w:r>
        <w:t xml:space="preserve"> had a devastating effect in the </w:t>
      </w:r>
      <w:r w:rsidR="00B2221C">
        <w:t>U.S</w:t>
      </w:r>
      <w:r>
        <w:t>.</w:t>
      </w:r>
      <w:r w:rsidR="00B130AB">
        <w:t xml:space="preserve"> </w:t>
      </w:r>
      <w:r>
        <w:t>The increased number of individuals reporting OUD can be traced back to the rise in prescription opioid medications in the 1990s, which led to an increased usage of heroin and synthetic opioids like illicit fentanyl.</w:t>
      </w:r>
      <w:r>
        <w:rPr>
          <w:rStyle w:val="FootnoteReference"/>
        </w:rPr>
        <w:footnoteReference w:id="41"/>
      </w:r>
      <w:r w:rsidR="00B130AB">
        <w:t xml:space="preserve"> </w:t>
      </w:r>
      <w:r>
        <w:t>The opioid epidemic has reached its zenith in recent years.</w:t>
      </w:r>
      <w:r w:rsidR="00B130AB">
        <w:t xml:space="preserve"> </w:t>
      </w:r>
      <w:r>
        <w:t>In 2021, 2.5 million people aged 18 or older reported an OUD in the prior year.</w:t>
      </w:r>
      <w:r>
        <w:rPr>
          <w:rStyle w:val="FootnoteReference"/>
        </w:rPr>
        <w:footnoteReference w:id="42"/>
      </w:r>
      <w:r w:rsidR="00B130AB">
        <w:t xml:space="preserve"> </w:t>
      </w:r>
      <w:r>
        <w:t>T</w:t>
      </w:r>
      <w:r w:rsidRPr="00332781">
        <w:t>he Centers for Disease Control</w:t>
      </w:r>
      <w:r w:rsidR="00001077">
        <w:t xml:space="preserve"> </w:t>
      </w:r>
      <w:r w:rsidR="00001077">
        <w:lastRenderedPageBreak/>
        <w:t>and Prevention</w:t>
      </w:r>
      <w:r w:rsidRPr="00332781">
        <w:t xml:space="preserve"> (CDC) estimates that between 1999 and 2021, over </w:t>
      </w:r>
      <w:r w:rsidR="00001077">
        <w:t>one</w:t>
      </w:r>
      <w:r w:rsidRPr="00332781">
        <w:t xml:space="preserve"> million people died from drug-related deaths, and 645,000 people died from overdoses involving an opioid.</w:t>
      </w:r>
      <w:r>
        <w:rPr>
          <w:rStyle w:val="FootnoteReference"/>
        </w:rPr>
        <w:footnoteReference w:id="43"/>
      </w:r>
      <w:r w:rsidR="00B130AB">
        <w:t xml:space="preserve"> </w:t>
      </w:r>
      <w:r>
        <w:t>Similarly, in 2021 alone, there were 107,000 drug-related deaths, and 80,000 were opioid-related, which is 10 times the number of opioid-related deaths reported in 1999.</w:t>
      </w:r>
      <w:r>
        <w:rPr>
          <w:rStyle w:val="FootnoteReference"/>
        </w:rPr>
        <w:footnoteReference w:id="44"/>
      </w:r>
      <w:r w:rsidR="00B130AB">
        <w:t xml:space="preserve"> </w:t>
      </w:r>
      <w:r>
        <w:t>Kentucky</w:t>
      </w:r>
      <w:r w:rsidR="00001077">
        <w:t>,</w:t>
      </w:r>
      <w:r>
        <w:t xml:space="preserve"> in particular</w:t>
      </w:r>
      <w:r w:rsidR="00001077">
        <w:t>,</w:t>
      </w:r>
      <w:r>
        <w:t xml:space="preserve"> has been disproportionately affected by the opioid epidemic.</w:t>
      </w:r>
      <w:r w:rsidR="00B130AB">
        <w:t xml:space="preserve"> </w:t>
      </w:r>
      <w:r>
        <w:t>The CDC reports that in 2020, Kentucky’s opioid dispensing rate was 68.2 out of every 100 residents, the fifth highest among states.</w:t>
      </w:r>
      <w:r>
        <w:rPr>
          <w:rStyle w:val="FootnoteReference"/>
        </w:rPr>
        <w:footnoteReference w:id="45"/>
      </w:r>
      <w:r w:rsidR="00B130AB">
        <w:t xml:space="preserve"> </w:t>
      </w:r>
      <w:r>
        <w:t>In 2021, 128,000 Kentuckians aged 12 or older reported an OUD in the prior year.</w:t>
      </w:r>
      <w:r>
        <w:rPr>
          <w:rStyle w:val="FootnoteReference"/>
        </w:rPr>
        <w:footnoteReference w:id="46"/>
      </w:r>
      <w:r w:rsidR="00B130AB">
        <w:t xml:space="preserve"> </w:t>
      </w:r>
      <w:r w:rsidRPr="00332781">
        <w:t xml:space="preserve">Kentucky ranks </w:t>
      </w:r>
      <w:r>
        <w:t>third</w:t>
      </w:r>
      <w:r w:rsidRPr="00332781">
        <w:t xml:space="preserve"> highest among states in drug overdose fatalities with </w:t>
      </w:r>
      <w:r>
        <w:t>55</w:t>
      </w:r>
      <w:r w:rsidRPr="00332781">
        <w:t>.</w:t>
      </w:r>
      <w:r>
        <w:t>6</w:t>
      </w:r>
      <w:r w:rsidRPr="00332781">
        <w:t xml:space="preserve"> deaths out of every 100,000 residents, nearly 60</w:t>
      </w:r>
      <w:r w:rsidR="007F411B">
        <w:t xml:space="preserve"> percent</w:t>
      </w:r>
      <w:r w:rsidRPr="00332781">
        <w:t xml:space="preserve"> above the national average.</w:t>
      </w:r>
      <w:r>
        <w:rPr>
          <w:rStyle w:val="FootnoteReference"/>
        </w:rPr>
        <w:footnoteReference w:id="47"/>
      </w:r>
      <w:r w:rsidR="00B130AB">
        <w:t xml:space="preserve"> </w:t>
      </w:r>
      <w:r>
        <w:t>Of the 2,250 overdose deaths reported in Kentucky in 2021, 1,787 were opioid-related.</w:t>
      </w:r>
      <w:r>
        <w:rPr>
          <w:rStyle w:val="FootnoteReference"/>
        </w:rPr>
        <w:footnoteReference w:id="48"/>
      </w:r>
      <w:r w:rsidR="008663CE">
        <w:t xml:space="preserve"> </w:t>
      </w:r>
      <w:r w:rsidR="000C7AFB">
        <w:t>Moreover, internal DMS data show that Medicaid beneficiaries make up nearly 75</w:t>
      </w:r>
      <w:r w:rsidR="00FC49B6">
        <w:t xml:space="preserve"> percent</w:t>
      </w:r>
      <w:r w:rsidR="000C7AFB">
        <w:t xml:space="preserve"> of all Kentucky overdose deaths.</w:t>
      </w:r>
      <w:r w:rsidR="008663CE">
        <w:t xml:space="preserve"> </w:t>
      </w:r>
    </w:p>
    <w:p w14:paraId="49DAA751" w14:textId="77777777" w:rsidR="000C680C" w:rsidRDefault="000C680C" w:rsidP="00272214">
      <w:r w:rsidRPr="0086634B">
        <w:t>With respect to Kentucky’s youth, rates of SUD have remained steady among adolescents since</w:t>
      </w:r>
      <w:r>
        <w:t xml:space="preserve"> 2015, and the number of juveniles suffering from SUD is staggering.</w:t>
      </w:r>
      <w:r w:rsidR="00B130AB">
        <w:t xml:space="preserve"> </w:t>
      </w:r>
      <w:r>
        <w:t>In 2019, 17.2</w:t>
      </w:r>
      <w:r w:rsidR="007F411B">
        <w:t xml:space="preserve"> percent</w:t>
      </w:r>
      <w:r>
        <w:t xml:space="preserve"> of adolescents aged 12</w:t>
      </w:r>
      <w:r w:rsidR="007F411B">
        <w:t xml:space="preserve"> to </w:t>
      </w:r>
      <w:r>
        <w:t>17 have reported using illicit drugs in the past year, and 9.4</w:t>
      </w:r>
      <w:r w:rsidR="007F411B">
        <w:t xml:space="preserve"> percent</w:t>
      </w:r>
      <w:r>
        <w:t xml:space="preserve"> reported using alcohol in the past month.</w:t>
      </w:r>
      <w:r>
        <w:rPr>
          <w:rStyle w:val="FootnoteReference"/>
        </w:rPr>
        <w:footnoteReference w:id="49"/>
      </w:r>
      <w:r w:rsidR="00B130AB">
        <w:t xml:space="preserve"> </w:t>
      </w:r>
      <w:r>
        <w:t>Youth suffering from SUD face negative outcomes in many facets of life, such as in academics, mental and physical health, and involvement with the juvenile justice system.</w:t>
      </w:r>
      <w:r w:rsidR="00B130AB">
        <w:t xml:space="preserve"> </w:t>
      </w:r>
      <w:r>
        <w:t>Specifically, 39</w:t>
      </w:r>
      <w:r w:rsidR="007F411B">
        <w:t xml:space="preserve"> percent</w:t>
      </w:r>
      <w:r>
        <w:t xml:space="preserve"> of incarcerated youth report being under the influence of drugs at the time of their offense.</w:t>
      </w:r>
      <w:r>
        <w:rPr>
          <w:rStyle w:val="FootnoteReference"/>
        </w:rPr>
        <w:footnoteReference w:id="50"/>
      </w:r>
      <w:r w:rsidR="00B130AB">
        <w:t xml:space="preserve"> </w:t>
      </w:r>
      <w:r>
        <w:t>Further, untreated SUD will continue to affect adolescents into adulthood, and these individuals are more likely to experience criminal involvement, unintended pregnancies, sexually transmitted infections, and mental disorders.</w:t>
      </w:r>
      <w:r>
        <w:rPr>
          <w:rStyle w:val="FootnoteReference"/>
        </w:rPr>
        <w:footnoteReference w:id="51"/>
      </w:r>
    </w:p>
    <w:p w14:paraId="6451B826" w14:textId="77777777" w:rsidR="005B56C4" w:rsidRDefault="000C680C" w:rsidP="007506B6">
      <w:r w:rsidRPr="007506B6">
        <w:t>SUD is a particular challenge for the incarcerated population.</w:t>
      </w:r>
      <w:r w:rsidR="00B130AB" w:rsidRPr="00F31FBC">
        <w:t xml:space="preserve"> </w:t>
      </w:r>
      <w:r w:rsidRPr="00F31FBC">
        <w:t>For example, of the 1.9 million people incarcerated in prisons and jails nationwide, an estimated 65</w:t>
      </w:r>
      <w:r w:rsidR="00F9139E" w:rsidRPr="00F31FBC">
        <w:t xml:space="preserve"> percent</w:t>
      </w:r>
      <w:r w:rsidRPr="00F31FBC">
        <w:t xml:space="preserve"> meet the </w:t>
      </w:r>
      <w:r w:rsidR="00F9139E" w:rsidRPr="00F31FBC">
        <w:t>Diagnostic and Statistical Manual of Mental Disorders (</w:t>
      </w:r>
      <w:r w:rsidRPr="00F31FBC">
        <w:t>DSM</w:t>
      </w:r>
      <w:r w:rsidR="00F9139E" w:rsidRPr="00F31FBC">
        <w:t>)</w:t>
      </w:r>
      <w:r w:rsidRPr="00F31FBC">
        <w:t>-5 criteria for addiction.</w:t>
      </w:r>
      <w:r w:rsidRPr="007506B6">
        <w:rPr>
          <w:rStyle w:val="FootnoteReference"/>
        </w:rPr>
        <w:footnoteReference w:id="52"/>
      </w:r>
      <w:r w:rsidR="00B130AB" w:rsidRPr="007506B6">
        <w:t xml:space="preserve"> </w:t>
      </w:r>
      <w:r w:rsidRPr="00F31FBC">
        <w:t>Incarcerated individuals are particularly vulnerable to drug-related complications and deaths due to limited access to treatment both during incarceration and post-release.</w:t>
      </w:r>
      <w:r w:rsidR="00B130AB" w:rsidRPr="00F31FBC">
        <w:t xml:space="preserve"> </w:t>
      </w:r>
      <w:r w:rsidRPr="00F31FBC">
        <w:t>Of the 5,100 prisons and jails nationwide, research shows that only 30 facilities offer MAT involving methadone and buprenorphine for individuals suffering from SUD.</w:t>
      </w:r>
      <w:r w:rsidRPr="007506B6">
        <w:rPr>
          <w:rStyle w:val="FootnoteReference"/>
        </w:rPr>
        <w:footnoteReference w:id="53"/>
      </w:r>
      <w:r w:rsidR="00B130AB" w:rsidRPr="007506B6">
        <w:t xml:space="preserve"> </w:t>
      </w:r>
      <w:r w:rsidR="005B56C4" w:rsidRPr="00F31FBC">
        <w:t>In Kentucky,</w:t>
      </w:r>
      <w:r w:rsidR="00E055ED" w:rsidRPr="00F31FBC">
        <w:t xml:space="preserve"> the corrections-based SUD treatment system is able to treat nearly 6,300 individuals at any given time </w:t>
      </w:r>
      <w:r w:rsidR="005B56C4" w:rsidRPr="00F31FBC">
        <w:t xml:space="preserve">across </w:t>
      </w:r>
      <w:r w:rsidR="00FF3A28" w:rsidRPr="00F31FBC">
        <w:t xml:space="preserve">all </w:t>
      </w:r>
      <w:r w:rsidR="005B56C4" w:rsidRPr="00F31FBC">
        <w:t xml:space="preserve">jails, </w:t>
      </w:r>
      <w:r w:rsidR="005B56C4" w:rsidRPr="00F31FBC">
        <w:lastRenderedPageBreak/>
        <w:t>prisons, halfway houses, recovery centers, community mental health centers, and intensive outpatient centers—</w:t>
      </w:r>
      <w:r w:rsidR="00E055ED" w:rsidRPr="00F31FBC">
        <w:t>all of which were at capacity in State Fiscal Year 2021</w:t>
      </w:r>
      <w:r w:rsidR="005B56C4" w:rsidRPr="00F31FBC">
        <w:t>.</w:t>
      </w:r>
      <w:r w:rsidR="009D1127" w:rsidRPr="00FC49B6">
        <w:rPr>
          <w:rStyle w:val="FootnoteReference"/>
        </w:rPr>
        <w:footnoteReference w:id="54"/>
      </w:r>
      <w:r w:rsidR="005B56C4">
        <w:t xml:space="preserve"> </w:t>
      </w:r>
    </w:p>
    <w:p w14:paraId="14378F17" w14:textId="77777777" w:rsidR="000C680C" w:rsidRPr="002B03C9" w:rsidRDefault="000C680C" w:rsidP="00CA7468">
      <w:pPr>
        <w:pStyle w:val="Heading3"/>
      </w:pPr>
      <w:bookmarkStart w:id="7" w:name="_Toc150417357"/>
      <w:r w:rsidRPr="002B03C9">
        <w:t>Continuing Kentucky’s Mission</w:t>
      </w:r>
      <w:bookmarkEnd w:id="7"/>
    </w:p>
    <w:p w14:paraId="32790FEA" w14:textId="0D50C3C3" w:rsidR="000C680C" w:rsidRDefault="000C680C" w:rsidP="00272214">
      <w:r>
        <w:t xml:space="preserve">The proposed waiver is intended to </w:t>
      </w:r>
      <w:r w:rsidR="00C352D1">
        <w:t xml:space="preserve">support </w:t>
      </w:r>
      <w:r>
        <w:t xml:space="preserve">the significant efforts the Commonwealth has </w:t>
      </w:r>
      <w:r w:rsidRPr="00D95659">
        <w:t>taken to address the</w:t>
      </w:r>
      <w:r>
        <w:t xml:space="preserve"> needs of the most vulnerable Kentuckians.</w:t>
      </w:r>
      <w:r w:rsidR="00B130AB">
        <w:t xml:space="preserve"> </w:t>
      </w:r>
      <w:r>
        <w:t>What follows are highlights of legislative, administrative, and Medicaid-specific initiatives that have been implemented in recent years.</w:t>
      </w:r>
      <w:r w:rsidR="00B130AB">
        <w:t xml:space="preserve"> </w:t>
      </w:r>
    </w:p>
    <w:p w14:paraId="69646470" w14:textId="77777777" w:rsidR="000C680C" w:rsidRPr="00D87067" w:rsidRDefault="000C680C" w:rsidP="00CA7468">
      <w:pPr>
        <w:pStyle w:val="Heading3"/>
      </w:pPr>
      <w:bookmarkStart w:id="8" w:name="_Toc150417358"/>
      <w:r w:rsidRPr="00D87067">
        <w:t>Legislative</w:t>
      </w:r>
      <w:bookmarkEnd w:id="8"/>
    </w:p>
    <w:p w14:paraId="4B6E141F" w14:textId="77777777" w:rsidR="000C680C" w:rsidRDefault="000C680C" w:rsidP="00272214">
      <w:r w:rsidRPr="009E6DD5">
        <w:t xml:space="preserve">Over the past decade, </w:t>
      </w:r>
      <w:r>
        <w:t xml:space="preserve">the Kentucky General Assembly has passed </w:t>
      </w:r>
      <w:r w:rsidRPr="009E6DD5">
        <w:t>sweeping legislation</w:t>
      </w:r>
      <w:r>
        <w:t xml:space="preserve"> </w:t>
      </w:r>
      <w:r w:rsidRPr="009E6DD5">
        <w:t xml:space="preserve">to reduce incarceration rates for drug-related offenses and </w:t>
      </w:r>
      <w:r>
        <w:t xml:space="preserve">to </w:t>
      </w:r>
      <w:r w:rsidRPr="009E6DD5">
        <w:t>implement community supports for individuals suffering from SUD.</w:t>
      </w:r>
      <w:r w:rsidR="00B130AB">
        <w:t xml:space="preserve"> </w:t>
      </w:r>
      <w:r>
        <w:t xml:space="preserve">For example, </w:t>
      </w:r>
      <w:r w:rsidRPr="009E6DD5">
        <w:t>House Bill (HB) 463</w:t>
      </w:r>
      <w:r>
        <w:t xml:space="preserve"> (2011) </w:t>
      </w:r>
      <w:r w:rsidRPr="009E6DD5">
        <w:t>aims to reduce felony convictions for drug possession charges</w:t>
      </w:r>
      <w:r>
        <w:t xml:space="preserve"> by allowing for deferred prosecution for possession cases, </w:t>
      </w:r>
      <w:r w:rsidRPr="00F023E2">
        <w:t>needs assessments for treatment and expungement of misdemeanor possession cases upon successful completion of treatment</w:t>
      </w:r>
      <w:r>
        <w:t>, and the creation of a drug treatment court program.</w:t>
      </w:r>
    </w:p>
    <w:p w14:paraId="5906D7A1" w14:textId="3033FA6F" w:rsidR="000C680C" w:rsidRDefault="000C680C" w:rsidP="00272214">
      <w:r>
        <w:t>P</w:t>
      </w:r>
      <w:r w:rsidRPr="004979E3">
        <w:t xml:space="preserve">rogress from HB 463 was advanced by </w:t>
      </w:r>
      <w:r>
        <w:t>SB 192 (2015)</w:t>
      </w:r>
      <w:r w:rsidRPr="004979E3">
        <w:t xml:space="preserve">, </w:t>
      </w:r>
      <w:r>
        <w:t xml:space="preserve">which </w:t>
      </w:r>
      <w:r w:rsidRPr="004979E3">
        <w:t>enhanced several aspects of Kentucky’s response to the opioid crisis</w:t>
      </w:r>
      <w:r>
        <w:t xml:space="preserve"> by emphasizing</w:t>
      </w:r>
      <w:r w:rsidRPr="004979E3">
        <w:t xml:space="preserve"> treatment over incarceration</w:t>
      </w:r>
      <w:r>
        <w:t>.</w:t>
      </w:r>
      <w:r w:rsidRPr="004979E3">
        <w:t xml:space="preserve"> </w:t>
      </w:r>
      <w:r>
        <w:t xml:space="preserve">Specific </w:t>
      </w:r>
      <w:r w:rsidRPr="004979E3">
        <w:t xml:space="preserve">reforms included expanded access to naloxone and granting priority access to substance use treatment for pregnant women. In addition, </w:t>
      </w:r>
      <w:r>
        <w:t>the bill</w:t>
      </w:r>
      <w:r w:rsidRPr="004979E3">
        <w:t xml:space="preserve"> </w:t>
      </w:r>
      <w:r>
        <w:t>funded the implementation of</w:t>
      </w:r>
      <w:r w:rsidRPr="004979E3">
        <w:t xml:space="preserve"> two new programs, </w:t>
      </w:r>
      <w:r>
        <w:t>“</w:t>
      </w:r>
      <w:r w:rsidRPr="004979E3">
        <w:t>Rocket Docket</w:t>
      </w:r>
      <w:r>
        <w:t xml:space="preserve">” </w:t>
      </w:r>
      <w:r w:rsidRPr="004979E3">
        <w:t xml:space="preserve">and </w:t>
      </w:r>
      <w:r>
        <w:t>“</w:t>
      </w:r>
      <w:r w:rsidRPr="004979E3">
        <w:t>Alternative Sentencing Worker</w:t>
      </w:r>
      <w:r>
        <w:t>.”</w:t>
      </w:r>
      <w:r w:rsidRPr="004979E3">
        <w:t xml:space="preserve"> </w:t>
      </w:r>
      <w:r w:rsidRPr="00E04875">
        <w:t xml:space="preserve">Rocket Dockets are a collaborative effort between </w:t>
      </w:r>
      <w:r w:rsidR="000E39A1">
        <w:t>a given</w:t>
      </w:r>
      <w:r w:rsidR="000E39A1" w:rsidRPr="00E04875">
        <w:t xml:space="preserve"> </w:t>
      </w:r>
      <w:r w:rsidR="000E39A1">
        <w:t>c</w:t>
      </w:r>
      <w:r w:rsidRPr="00E04875">
        <w:t>ounty and Comm</w:t>
      </w:r>
      <w:r>
        <w:t xml:space="preserve">onwealth’s </w:t>
      </w:r>
      <w:r w:rsidR="00BF4B39">
        <w:t>a</w:t>
      </w:r>
      <w:r>
        <w:t xml:space="preserve">ttorneys to process </w:t>
      </w:r>
      <w:r w:rsidRPr="00E04875">
        <w:t>the appropriate cases more swiftly through the judicial system, whic</w:t>
      </w:r>
      <w:r>
        <w:t xml:space="preserve">h creates cost savings and more </w:t>
      </w:r>
      <w:r w:rsidRPr="00E04875">
        <w:t>quickly identifies defendants for the appropriate drug treatment</w:t>
      </w:r>
      <w:r w:rsidRPr="0096482C">
        <w:t>.</w:t>
      </w:r>
      <w:r w:rsidR="00644419" w:rsidRPr="0096482C">
        <w:rPr>
          <w:rStyle w:val="FootnoteReference"/>
        </w:rPr>
        <w:footnoteReference w:id="55"/>
      </w:r>
      <w:r w:rsidR="00644419">
        <w:t xml:space="preserve"> </w:t>
      </w:r>
      <w:r>
        <w:t xml:space="preserve">The Alternative Sentencing Worker Program employs </w:t>
      </w:r>
      <w:r w:rsidR="00BF4B39">
        <w:t>a</w:t>
      </w:r>
      <w:r>
        <w:t xml:space="preserve">lternative </w:t>
      </w:r>
      <w:r w:rsidR="00BF4B39">
        <w:t>s</w:t>
      </w:r>
      <w:r>
        <w:t xml:space="preserve">entencing </w:t>
      </w:r>
      <w:r w:rsidR="00BF4B39">
        <w:t>w</w:t>
      </w:r>
      <w:r>
        <w:t>orkers (ASWs) to work with offenders on creating an individualized comprehensive plan to address the individual’s underlining criminal behavior and facilitate rehabilitation.</w:t>
      </w:r>
      <w:r>
        <w:rPr>
          <w:rStyle w:val="FootnoteReference"/>
        </w:rPr>
        <w:footnoteReference w:id="56"/>
      </w:r>
      <w:r>
        <w:t xml:space="preserve"> </w:t>
      </w:r>
      <w:r w:rsidRPr="00E04875">
        <w:t>Through a ref</w:t>
      </w:r>
      <w:r>
        <w:t>erral process,</w:t>
      </w:r>
      <w:r w:rsidRPr="00E04875">
        <w:t xml:space="preserve"> ASWs identify individuals who suffer from substance abuse and/or mental health disorders, offering alternative options to the court in lieu of incarceration</w:t>
      </w:r>
      <w:r>
        <w:t>.</w:t>
      </w:r>
    </w:p>
    <w:p w14:paraId="768B2AAE" w14:textId="77777777" w:rsidR="000C680C" w:rsidRPr="00B135F1" w:rsidRDefault="000C680C" w:rsidP="00272214">
      <w:r>
        <w:t xml:space="preserve">Building upon </w:t>
      </w:r>
      <w:r w:rsidRPr="00DD53A0">
        <w:t>effort</w:t>
      </w:r>
      <w:r>
        <w:t>s</w:t>
      </w:r>
      <w:r w:rsidRPr="00DD53A0">
        <w:t xml:space="preserve"> to mitigate the opioid crisis </w:t>
      </w:r>
      <w:r>
        <w:t>undertaken in SB 192, Kentucky has implemented several measures directed at prescribers. For example, in 2012, HB 1 passed, which established requirements for the prescription and dispensing of controlled substances, established continuing medical education requirements for prescribers, introduced sanctions for practitioners who fail to adhere to controlled substance guidelines, and imposed reporting requirements including mandatory implementation of Prescription Drug Monitoring Programs.</w:t>
      </w:r>
      <w:r>
        <w:rPr>
          <w:rStyle w:val="FootnoteReference"/>
        </w:rPr>
        <w:footnoteReference w:id="57"/>
      </w:r>
      <w:r>
        <w:t xml:space="preserve"> As a result of HB</w:t>
      </w:r>
      <w:r w:rsidR="00F6157A">
        <w:t xml:space="preserve"> </w:t>
      </w:r>
      <w:r>
        <w:t xml:space="preserve">1, 201 </w:t>
      </w:r>
      <w:r w:rsidR="00F6157A">
        <w:t>Kentucky Administrative Regulations (</w:t>
      </w:r>
      <w:r>
        <w:t>KAR</w:t>
      </w:r>
      <w:r w:rsidR="00F6157A">
        <w:t>)</w:t>
      </w:r>
      <w:r>
        <w:t xml:space="preserve"> 9:260 and 201 KAR 9:270 were </w:t>
      </w:r>
      <w:r>
        <w:lastRenderedPageBreak/>
        <w:t>implemented, establishing professional standards for the administering of buprenorphine and other controlled substances and permitting the Kentucky Board of Medical Licensure (KBML) to monitor and takes enforcement actions against prescribers who fail to adhere to such standards.</w:t>
      </w:r>
      <w:r>
        <w:rPr>
          <w:rStyle w:val="FootnoteReference"/>
        </w:rPr>
        <w:footnoteReference w:id="58"/>
      </w:r>
      <w:r w:rsidR="00B130AB">
        <w:t xml:space="preserve"> </w:t>
      </w:r>
    </w:p>
    <w:p w14:paraId="53F14454" w14:textId="19C67036" w:rsidR="000C680C" w:rsidRDefault="000C680C" w:rsidP="00272214">
      <w:r>
        <w:t>More recently</w:t>
      </w:r>
      <w:r w:rsidR="00F31FBC">
        <w:t xml:space="preserve"> in 2021</w:t>
      </w:r>
      <w:r>
        <w:t xml:space="preserve">, </w:t>
      </w:r>
      <w:r w:rsidRPr="009E6DD5">
        <w:t xml:space="preserve">HB 497 </w:t>
      </w:r>
      <w:r>
        <w:t xml:space="preserve">was passed, which </w:t>
      </w:r>
      <w:r w:rsidRPr="009E6DD5">
        <w:t xml:space="preserve">provides certificates of employability to inmates who successfully complete a reentry program while incarcerated. </w:t>
      </w:r>
      <w:r>
        <w:t xml:space="preserve">The program further provides inmates with employment support services, such as interviewing assistance and resume building. </w:t>
      </w:r>
      <w:r w:rsidR="00F31FBC">
        <w:t>The following year, SB</w:t>
      </w:r>
      <w:r w:rsidR="00493AE1">
        <w:t xml:space="preserve"> </w:t>
      </w:r>
      <w:r w:rsidR="00F31FBC">
        <w:t>90 was passed, which seeks to further</w:t>
      </w:r>
      <w:r>
        <w:t xml:space="preserve"> reduce incarceration rates and prioritize treatment options</w:t>
      </w:r>
      <w:r w:rsidR="00F31FBC">
        <w:t xml:space="preserve"> by creating the BHCDP, a four year</w:t>
      </w:r>
      <w:r w:rsidR="00F31FBC" w:rsidRPr="00D96A9E">
        <w:t xml:space="preserve"> </w:t>
      </w:r>
      <w:r w:rsidRPr="00D96A9E">
        <w:t xml:space="preserve">pilot program </w:t>
      </w:r>
      <w:r w:rsidR="00F31FBC">
        <w:t>that provides</w:t>
      </w:r>
      <w:r w:rsidRPr="00D96A9E">
        <w:t xml:space="preserve"> eligible individuals an </w:t>
      </w:r>
      <w:r w:rsidR="00F31FBC">
        <w:t>option</w:t>
      </w:r>
      <w:r w:rsidR="00F31FBC" w:rsidRPr="00D96A9E">
        <w:t xml:space="preserve"> </w:t>
      </w:r>
      <w:r w:rsidRPr="00D96A9E">
        <w:t>to receive treatment for a behavioral health disorder instead of incarceration, resulting in dismissal of the criminal charges upon successful completion of the program</w:t>
      </w:r>
      <w:r>
        <w:t>.</w:t>
      </w:r>
      <w:r w:rsidR="00F31FBC">
        <w:rPr>
          <w:rStyle w:val="FootnoteReference"/>
        </w:rPr>
        <w:footnoteReference w:id="59"/>
      </w:r>
      <w:r w:rsidR="008663CE">
        <w:t xml:space="preserve"> </w:t>
      </w:r>
      <w:r w:rsidR="00F31FBC">
        <w:t xml:space="preserve">In 2023, </w:t>
      </w:r>
      <w:r w:rsidR="00F31FBC" w:rsidRPr="00F31FBC">
        <w:t>HB 248</w:t>
      </w:r>
      <w:r w:rsidR="00F31FBC">
        <w:t xml:space="preserve"> was passed creating a</w:t>
      </w:r>
      <w:r w:rsidR="00F31FBC" w:rsidRPr="00F31FBC">
        <w:t xml:space="preserve"> statutory definition </w:t>
      </w:r>
      <w:r w:rsidR="00F31FBC">
        <w:t>for</w:t>
      </w:r>
      <w:r w:rsidR="00F31FBC" w:rsidRPr="00F31FBC">
        <w:t xml:space="preserve"> recovery residences </w:t>
      </w:r>
      <w:r w:rsidR="00F31FBC">
        <w:t xml:space="preserve">and directing the Cabinet for Health and Family Services </w:t>
      </w:r>
      <w:r w:rsidR="00F31FBC" w:rsidRPr="00F31FBC">
        <w:t xml:space="preserve">to establish </w:t>
      </w:r>
      <w:r w:rsidR="00F31FBC">
        <w:t xml:space="preserve">certification </w:t>
      </w:r>
      <w:r w:rsidR="00F31FBC" w:rsidRPr="00F31FBC">
        <w:t xml:space="preserve">requirements for </w:t>
      </w:r>
      <w:r w:rsidR="00F31FBC">
        <w:t>such facilities</w:t>
      </w:r>
      <w:r w:rsidR="00F31FBC" w:rsidRPr="00F31FBC">
        <w:t>.</w:t>
      </w:r>
      <w:r w:rsidR="007D63D0">
        <w:rPr>
          <w:rStyle w:val="FootnoteReference"/>
        </w:rPr>
        <w:footnoteReference w:id="60"/>
      </w:r>
      <w:r w:rsidR="007D63D0">
        <w:t xml:space="preserve"> This same year, </w:t>
      </w:r>
      <w:r w:rsidR="007D63D0" w:rsidRPr="007D63D0">
        <w:t>SB 162 and HB 3</w:t>
      </w:r>
      <w:r w:rsidR="007D63D0">
        <w:t xml:space="preserve"> were passed, which among other provisions, requires that the Commonwealth </w:t>
      </w:r>
      <w:r w:rsidR="007D63D0" w:rsidRPr="007D63D0">
        <w:t>maintain a c</w:t>
      </w:r>
      <w:r w:rsidR="007D63D0">
        <w:t xml:space="preserve">omprehensive data system for DJJ, </w:t>
      </w:r>
      <w:r w:rsidR="00732950">
        <w:t>and</w:t>
      </w:r>
      <w:r w:rsidR="007D63D0">
        <w:t xml:space="preserve"> provides resources for </w:t>
      </w:r>
      <w:r w:rsidR="007D63D0" w:rsidRPr="007D63D0">
        <w:t>youth suffering from mental illness.</w:t>
      </w:r>
      <w:r w:rsidR="007D63D0">
        <w:rPr>
          <w:rStyle w:val="FootnoteReference"/>
        </w:rPr>
        <w:footnoteReference w:id="61"/>
      </w:r>
      <w:r w:rsidR="008663CE">
        <w:t xml:space="preserve"> </w:t>
      </w:r>
      <w:r w:rsidR="00B130AB">
        <w:t xml:space="preserve"> </w:t>
      </w:r>
    </w:p>
    <w:p w14:paraId="69D732BD" w14:textId="0B148A90" w:rsidR="000C680C" w:rsidRPr="00D87067" w:rsidRDefault="000C680C" w:rsidP="00CA7468">
      <w:pPr>
        <w:pStyle w:val="Heading3"/>
      </w:pPr>
      <w:bookmarkStart w:id="9" w:name="_Toc150417359"/>
      <w:r>
        <w:t>Administrative</w:t>
      </w:r>
      <w:bookmarkEnd w:id="9"/>
    </w:p>
    <w:p w14:paraId="7FC26FE5" w14:textId="6F31C95B" w:rsidR="000C680C" w:rsidRDefault="000C680C" w:rsidP="00272214">
      <w:r>
        <w:t xml:space="preserve">In addition to the above legislative initiatives, DOC offers a wide range of evidence-based, </w:t>
      </w:r>
      <w:r w:rsidR="00192506">
        <w:t xml:space="preserve">life skills, </w:t>
      </w:r>
      <w:r>
        <w:t>promising practice</w:t>
      </w:r>
      <w:r w:rsidR="00192506">
        <w:t xml:space="preserve">, and </w:t>
      </w:r>
      <w:r>
        <w:t>substance abuse programs</w:t>
      </w:r>
      <w:r w:rsidR="00732950">
        <w:t xml:space="preserve"> (SAPs)</w:t>
      </w:r>
      <w:r>
        <w:t xml:space="preserve">, as well as case management services </w:t>
      </w:r>
      <w:r w:rsidRPr="001B0C93">
        <w:t xml:space="preserve">to address </w:t>
      </w:r>
      <w:r w:rsidR="00876098">
        <w:t xml:space="preserve">the </w:t>
      </w:r>
      <w:r>
        <w:t xml:space="preserve">treatment and </w:t>
      </w:r>
      <w:r w:rsidRPr="001B0C93">
        <w:t>reentry</w:t>
      </w:r>
      <w:r>
        <w:t xml:space="preserve"> needs</w:t>
      </w:r>
      <w:r w:rsidR="00876098">
        <w:t xml:space="preserve"> of individuals in the Department’s custody</w:t>
      </w:r>
      <w:r>
        <w:t>. Most relev</w:t>
      </w:r>
      <w:r w:rsidR="00876098">
        <w:t xml:space="preserve">ant to this waiver request, </w:t>
      </w:r>
      <w:r w:rsidR="00192506">
        <w:t xml:space="preserve">the DOC SAP </w:t>
      </w:r>
      <w:r>
        <w:t>includes inpatient programs, intensi</w:t>
      </w:r>
      <w:r w:rsidR="00876098">
        <w:t xml:space="preserve">ve outpatient programs, and MAT, leveraging </w:t>
      </w:r>
      <w:r>
        <w:t xml:space="preserve">therapeutic approaches </w:t>
      </w:r>
      <w:r w:rsidR="00876098">
        <w:t>such as</w:t>
      </w:r>
      <w:r>
        <w:t xml:space="preserve"> </w:t>
      </w:r>
      <w:r w:rsidRPr="009E6DD5">
        <w:t xml:space="preserve">modified therapeutic community, cognitive behavior therapy, motivational interviewing, </w:t>
      </w:r>
      <w:r>
        <w:t>and</w:t>
      </w:r>
      <w:r w:rsidRPr="009E6DD5">
        <w:t xml:space="preserve"> 12-step facilitation.</w:t>
      </w:r>
      <w:r w:rsidR="00067E4C">
        <w:rPr>
          <w:rStyle w:val="FootnoteReference"/>
        </w:rPr>
        <w:footnoteReference w:id="62"/>
      </w:r>
      <w:r w:rsidR="00B130AB">
        <w:t xml:space="preserve"> </w:t>
      </w:r>
    </w:p>
    <w:p w14:paraId="614BB254" w14:textId="682023F3" w:rsidR="000C680C" w:rsidRDefault="000C680C" w:rsidP="00272214">
      <w:r>
        <w:t xml:space="preserve">With respect to MAT, DOC </w:t>
      </w:r>
      <w:r w:rsidRPr="009E6DD5">
        <w:t xml:space="preserve">has been offering </w:t>
      </w:r>
      <w:r>
        <w:t>related counseling and Vivitrol to individuals in Kentucky state prisons</w:t>
      </w:r>
      <w:r w:rsidRPr="009E6DD5">
        <w:t xml:space="preserve"> who meet the clinical and medical protocol requirements</w:t>
      </w:r>
      <w:r>
        <w:t xml:space="preserve"> since 2016</w:t>
      </w:r>
      <w:r w:rsidRPr="009E6DD5">
        <w:t>.</w:t>
      </w:r>
      <w:r>
        <w:rPr>
          <w:rStyle w:val="FootnoteReference"/>
        </w:rPr>
        <w:footnoteReference w:id="63"/>
      </w:r>
      <w:r w:rsidR="00B130AB">
        <w:t xml:space="preserve"> </w:t>
      </w:r>
      <w:r>
        <w:t>Access to FDA-</w:t>
      </w:r>
      <w:r w:rsidRPr="00DE2BE5">
        <w:t xml:space="preserve">approved medications for </w:t>
      </w:r>
      <w:r w:rsidR="005B606A">
        <w:t>OUD</w:t>
      </w:r>
      <w:r w:rsidRPr="00DE2BE5">
        <w:t xml:space="preserve"> </w:t>
      </w:r>
      <w:r>
        <w:t xml:space="preserve">has been expanded to include </w:t>
      </w:r>
      <w:r w:rsidR="005B606A">
        <w:t>b</w:t>
      </w:r>
      <w:r w:rsidRPr="009E6DD5">
        <w:t>uprenorphine formularies (i.e., Suboxone</w:t>
      </w:r>
      <w:r>
        <w:t xml:space="preserve"> and </w:t>
      </w:r>
      <w:proofErr w:type="spellStart"/>
      <w:r w:rsidRPr="009E6DD5">
        <w:t>Sublocade</w:t>
      </w:r>
      <w:proofErr w:type="spellEnd"/>
      <w:r w:rsidRPr="009E6DD5">
        <w:t xml:space="preserve">) at </w:t>
      </w:r>
      <w:r>
        <w:t>six state prisons.</w:t>
      </w:r>
      <w:r w:rsidR="00B130AB">
        <w:t xml:space="preserve"> </w:t>
      </w:r>
      <w:r>
        <w:t>In addition, all incarcerated individuals currently receive a 30-day supply of all prescribed medication, upon release. In 2018, r</w:t>
      </w:r>
      <w:r w:rsidRPr="009E6DD5">
        <w:t xml:space="preserve">ecognizing the importance of continuity of care, a specialized dormitory was </w:t>
      </w:r>
      <w:r>
        <w:t xml:space="preserve">also </w:t>
      </w:r>
      <w:r w:rsidRPr="009E6DD5">
        <w:t>created for SAP graduates who were not granted parole.</w:t>
      </w:r>
      <w:r w:rsidR="00B130AB">
        <w:t xml:space="preserve"> </w:t>
      </w:r>
      <w:r w:rsidRPr="009E6DD5">
        <w:t>This dormitory setting allows for continued curriculum facilitation and additional reentry programs to prepare for release.</w:t>
      </w:r>
      <w:r w:rsidR="00B130AB">
        <w:t xml:space="preserve"> </w:t>
      </w:r>
      <w:r w:rsidRPr="009E6DD5">
        <w:t xml:space="preserve">Once released from custody, SAP graduates </w:t>
      </w:r>
      <w:r>
        <w:t>receive referrals to</w:t>
      </w:r>
      <w:r w:rsidRPr="009E6DD5">
        <w:t xml:space="preserve"> community staff and social services clinicians for local aftercare and recovery</w:t>
      </w:r>
      <w:r>
        <w:t>-</w:t>
      </w:r>
      <w:r w:rsidRPr="009E6DD5">
        <w:t>based supports.</w:t>
      </w:r>
      <w:r>
        <w:t xml:space="preserve"> One option for additional recovery support is Supporting Others in Active Recovery</w:t>
      </w:r>
      <w:r w:rsidR="00192506">
        <w:t xml:space="preserve"> (SOAR)</w:t>
      </w:r>
      <w:r>
        <w:t xml:space="preserve">, a transitional program where those who have completed SAP, but are not yet scheduled for release, may continue treatment in a prosocial </w:t>
      </w:r>
      <w:r>
        <w:lastRenderedPageBreak/>
        <w:t>environment.</w:t>
      </w:r>
      <w:r>
        <w:rPr>
          <w:rStyle w:val="FootnoteReference"/>
        </w:rPr>
        <w:footnoteReference w:id="64"/>
      </w:r>
      <w:r w:rsidR="00B130AB">
        <w:t xml:space="preserve"> </w:t>
      </w:r>
    </w:p>
    <w:p w14:paraId="30053063" w14:textId="05EF85DB" w:rsidR="000C680C" w:rsidRPr="005C5344" w:rsidRDefault="000C680C" w:rsidP="00272214">
      <w:r>
        <w:t xml:space="preserve">In 2018, the DOC Division of </w:t>
      </w:r>
      <w:r w:rsidR="00EE789B">
        <w:t xml:space="preserve">Reentry </w:t>
      </w:r>
      <w:r>
        <w:t>Services</w:t>
      </w:r>
      <w:r w:rsidR="00ED334F">
        <w:t xml:space="preserve"> </w:t>
      </w:r>
      <w:r>
        <w:t xml:space="preserve">was created to support inmates’ transition back into the community. As of 2019, every adult institution overseen by DOC </w:t>
      </w:r>
      <w:r w:rsidRPr="00DD04E4">
        <w:t>has a</w:t>
      </w:r>
      <w:r>
        <w:t xml:space="preserve">t least one assigned reentry coordinator, and community-based </w:t>
      </w:r>
      <w:r w:rsidRPr="00DD04E4">
        <w:t xml:space="preserve">reentry coordinators </w:t>
      </w:r>
      <w:r>
        <w:t>are assigned to each of the Commonwealth’s parole districts to provide post-release services.</w:t>
      </w:r>
      <w:r w:rsidR="00B130AB">
        <w:t xml:space="preserve"> </w:t>
      </w:r>
      <w:r>
        <w:t>The Division</w:t>
      </w:r>
      <w:r w:rsidR="00873D7E">
        <w:t xml:space="preserve"> of Reentry Services</w:t>
      </w:r>
      <w:r>
        <w:t xml:space="preserve"> has also partnered with </w:t>
      </w:r>
      <w:r w:rsidRPr="00473100">
        <w:t>Office of Drug Control Policy</w:t>
      </w:r>
      <w:r w:rsidR="00EE789B">
        <w:t xml:space="preserve"> (ODCP)</w:t>
      </w:r>
      <w:r w:rsidRPr="00473100">
        <w:t xml:space="preserve"> to provide funding for transportation</w:t>
      </w:r>
      <w:r>
        <w:t xml:space="preserve"> for individuals post-release, thereby minimizing transportation barriers and allowing individuals to continue receiving vital health</w:t>
      </w:r>
      <w:r w:rsidR="00ED334F">
        <w:t xml:space="preserve"> </w:t>
      </w:r>
      <w:r>
        <w:t>care and SUD treatment services in the community.</w:t>
      </w:r>
    </w:p>
    <w:p w14:paraId="521E00B5" w14:textId="77777777" w:rsidR="000C680C" w:rsidRPr="00D87067" w:rsidRDefault="000C680C" w:rsidP="00272214">
      <w:r>
        <w:t>Recent reporting demonstrates the significant impact SAP has had on incarcerated Kentuckians.</w:t>
      </w:r>
      <w:r w:rsidR="00B130AB">
        <w:t xml:space="preserve"> </w:t>
      </w:r>
      <w:r>
        <w:t xml:space="preserve">Specifically, the 2022 </w:t>
      </w:r>
      <w:r w:rsidRPr="00E11898">
        <w:t>Criminal Justice Kentucky Treatment Outcome Study</w:t>
      </w:r>
      <w:r>
        <w:t xml:space="preserve">, which is conducted annually in partnership with University of Kentucky Center on Drug and Alcohol Research, found that </w:t>
      </w:r>
      <w:r w:rsidRPr="007A743E">
        <w:t>92.6</w:t>
      </w:r>
      <w:r w:rsidR="00ED334F">
        <w:t xml:space="preserve"> percent</w:t>
      </w:r>
      <w:r>
        <w:t xml:space="preserve"> of SAP graduates</w:t>
      </w:r>
      <w:r w:rsidRPr="007A743E">
        <w:t xml:space="preserve"> interviewed 12</w:t>
      </w:r>
      <w:r>
        <w:t xml:space="preserve"> months post-release were living in stable housing.</w:t>
      </w:r>
      <w:r>
        <w:rPr>
          <w:rStyle w:val="FootnoteReference"/>
        </w:rPr>
        <w:footnoteReference w:id="65"/>
      </w:r>
      <w:r w:rsidR="00B130AB">
        <w:t xml:space="preserve"> </w:t>
      </w:r>
      <w:r>
        <w:t xml:space="preserve">Further, </w:t>
      </w:r>
      <w:r w:rsidRPr="007A743E">
        <w:t>78.9</w:t>
      </w:r>
      <w:r w:rsidR="00ED334F">
        <w:t xml:space="preserve"> percent</w:t>
      </w:r>
      <w:r w:rsidRPr="007A743E">
        <w:t xml:space="preserve"> of those </w:t>
      </w:r>
      <w:r>
        <w:t xml:space="preserve">graduates </w:t>
      </w:r>
      <w:r w:rsidRPr="007A743E">
        <w:t>with children reported providing finan</w:t>
      </w:r>
      <w:r>
        <w:t xml:space="preserve">cial </w:t>
      </w:r>
      <w:r w:rsidRPr="00D87067">
        <w:t>support to their children, 73.9</w:t>
      </w:r>
      <w:r w:rsidR="00ED334F">
        <w:t xml:space="preserve"> percent</w:t>
      </w:r>
      <w:r w:rsidRPr="00D87067">
        <w:t xml:space="preserve"> were not re-incarcerated, 75.3</w:t>
      </w:r>
      <w:r w:rsidR="00ED334F">
        <w:t xml:space="preserve"> percent</w:t>
      </w:r>
      <w:r w:rsidRPr="00D87067">
        <w:t xml:space="preserve"> were employed, 75.3</w:t>
      </w:r>
      <w:r w:rsidR="00ED334F">
        <w:t xml:space="preserve"> percent</w:t>
      </w:r>
      <w:r w:rsidRPr="00D87067">
        <w:t xml:space="preserve"> did not have a positive drug test, and 54.2</w:t>
      </w:r>
      <w:r w:rsidR="00ED334F">
        <w:t xml:space="preserve"> percent</w:t>
      </w:r>
      <w:r w:rsidRPr="00D87067">
        <w:t xml:space="preserve"> self-reported abstinence from illicit drug use.</w:t>
      </w:r>
      <w:r>
        <w:rPr>
          <w:rStyle w:val="FootnoteReference"/>
        </w:rPr>
        <w:footnoteReference w:id="66"/>
      </w:r>
      <w:r w:rsidR="00B130AB">
        <w:t xml:space="preserve"> </w:t>
      </w:r>
    </w:p>
    <w:p w14:paraId="640E092D" w14:textId="77777777" w:rsidR="000C680C" w:rsidRDefault="000C680C" w:rsidP="00272214">
      <w:proofErr w:type="gramStart"/>
      <w:r>
        <w:t>Similar to</w:t>
      </w:r>
      <w:proofErr w:type="gramEnd"/>
      <w:r>
        <w:t xml:space="preserve"> DOC, DJJ has a number of initiatives to address the health care needs of Kentucky’s YDC-placed youth that will serve as a foundation for the services outlined in the proposed waiver request.</w:t>
      </w:r>
      <w:r w:rsidR="00B130AB">
        <w:t xml:space="preserve"> </w:t>
      </w:r>
      <w:r>
        <w:t>Most notably, the Department’s Placement Services Division is responsible for assessing Medicaid eligibility for all youth entering custody and coordinating with a range of partners including, but not limited to, DMS</w:t>
      </w:r>
      <w:r w:rsidRPr="002E4087">
        <w:t>, Family Support, federal partners</w:t>
      </w:r>
      <w:r>
        <w:t xml:space="preserve">, </w:t>
      </w:r>
      <w:r w:rsidRPr="002E4087">
        <w:t xml:space="preserve">and </w:t>
      </w:r>
      <w:r>
        <w:t xml:space="preserve">the single statewide MCO for the SKY program, to ensure all </w:t>
      </w:r>
      <w:r w:rsidRPr="002E4087">
        <w:t xml:space="preserve">youth </w:t>
      </w:r>
      <w:r>
        <w:t>not subject to the federal inmate exclusion policy have access to Medicaid coverage.</w:t>
      </w:r>
      <w:r w:rsidR="00B130AB">
        <w:t xml:space="preserve"> </w:t>
      </w:r>
      <w:r>
        <w:t xml:space="preserve">In addition, system integrations exist that enable coordination for billing and payment of services provided. </w:t>
      </w:r>
    </w:p>
    <w:p w14:paraId="0982F2FF" w14:textId="77777777" w:rsidR="000C680C" w:rsidRPr="002E4087" w:rsidRDefault="000C680C" w:rsidP="00272214">
      <w:r>
        <w:t xml:space="preserve">In addition to the above, DJJ’s </w:t>
      </w:r>
      <w:r w:rsidRPr="002E4087">
        <w:t>Community, Professional Development</w:t>
      </w:r>
      <w:r>
        <w:t>,</w:t>
      </w:r>
      <w:r w:rsidRPr="002E4087">
        <w:t xml:space="preserve"> and Mental Health Services Division</w:t>
      </w:r>
      <w:r>
        <w:t xml:space="preserve"> performs physical and behavioral health related screenings on youth in DJJ custody and, where appropriate, provides designated case management services.</w:t>
      </w:r>
      <w:r w:rsidR="00B130AB">
        <w:t xml:space="preserve"> </w:t>
      </w:r>
      <w:r>
        <w:t>The DJJ Mental Health Branch also e</w:t>
      </w:r>
      <w:r w:rsidRPr="002E4087">
        <w:t>mploy</w:t>
      </w:r>
      <w:r>
        <w:t>s</w:t>
      </w:r>
      <w:r w:rsidRPr="002E4087">
        <w:t xml:space="preserve"> </w:t>
      </w:r>
      <w:r w:rsidR="007358A6">
        <w:t>q</w:t>
      </w:r>
      <w:r>
        <w:t xml:space="preserve">ualified </w:t>
      </w:r>
      <w:r w:rsidR="007358A6">
        <w:t>m</w:t>
      </w:r>
      <w:r>
        <w:t xml:space="preserve">ental </w:t>
      </w:r>
      <w:r w:rsidR="007358A6">
        <w:t>h</w:t>
      </w:r>
      <w:r>
        <w:t xml:space="preserve">ealth </w:t>
      </w:r>
      <w:r w:rsidR="007358A6">
        <w:t>p</w:t>
      </w:r>
      <w:r>
        <w:t xml:space="preserve">rofessionals (QMHPs), such as regional psychologists or staff trained in the use of the screening instruments, to conduct </w:t>
      </w:r>
      <w:r w:rsidRPr="002E4087">
        <w:t xml:space="preserve">psychological evaluations </w:t>
      </w:r>
      <w:r>
        <w:t xml:space="preserve">when </w:t>
      </w:r>
      <w:r w:rsidRPr="002E4087">
        <w:t xml:space="preserve">requested by </w:t>
      </w:r>
      <w:r>
        <w:t xml:space="preserve">courts; juvenile sex offender </w:t>
      </w:r>
      <w:r w:rsidRPr="002E4087">
        <w:t>assessments and reassessments; crisis consultations (</w:t>
      </w:r>
      <w:r>
        <w:t xml:space="preserve">e.g., </w:t>
      </w:r>
      <w:r w:rsidRPr="002E4087">
        <w:t>suic</w:t>
      </w:r>
      <w:r>
        <w:t xml:space="preserve">ide evaluations, school violence </w:t>
      </w:r>
      <w:r w:rsidRPr="002E4087">
        <w:t>assessment</w:t>
      </w:r>
      <w:r>
        <w:t>s</w:t>
      </w:r>
      <w:r w:rsidRPr="002E4087">
        <w:t xml:space="preserve">); </w:t>
      </w:r>
      <w:r>
        <w:t>substance use</w:t>
      </w:r>
      <w:r w:rsidRPr="002E4087">
        <w:t xml:space="preserve"> assessment</w:t>
      </w:r>
      <w:r>
        <w:t>s</w:t>
      </w:r>
      <w:r w:rsidRPr="002E4087">
        <w:t xml:space="preserve">; and mental health </w:t>
      </w:r>
      <w:r>
        <w:t xml:space="preserve">and trauma </w:t>
      </w:r>
      <w:r w:rsidRPr="002E4087">
        <w:t>assessment</w:t>
      </w:r>
      <w:r>
        <w:t>s</w:t>
      </w:r>
      <w:r w:rsidRPr="002E4087">
        <w:t>.</w:t>
      </w:r>
      <w:r w:rsidR="00B130AB">
        <w:t xml:space="preserve"> </w:t>
      </w:r>
      <w:r>
        <w:t xml:space="preserve">Screening results are reviewed by medical professionals and QMHPs to ensure </w:t>
      </w:r>
      <w:proofErr w:type="gramStart"/>
      <w:r>
        <w:t>clinically</w:t>
      </w:r>
      <w:r w:rsidR="007358A6">
        <w:t>-</w:t>
      </w:r>
      <w:r>
        <w:t>appropriate</w:t>
      </w:r>
      <w:proofErr w:type="gramEnd"/>
      <w:r>
        <w:t xml:space="preserve"> care, including referrals when necessary, are provided in a timely manner.</w:t>
      </w:r>
    </w:p>
    <w:p w14:paraId="7FB0C679" w14:textId="77777777" w:rsidR="000C680C" w:rsidRPr="00B1500E" w:rsidRDefault="000C680C" w:rsidP="00272214">
      <w:r>
        <w:t xml:space="preserve">Lastly, DJJ </w:t>
      </w:r>
      <w:r w:rsidRPr="002E4087">
        <w:t xml:space="preserve">Community Services </w:t>
      </w:r>
      <w:r>
        <w:t xml:space="preserve">Branch </w:t>
      </w:r>
      <w:r w:rsidRPr="002E4087">
        <w:t>staff attend juvenile court, complete risk</w:t>
      </w:r>
      <w:r>
        <w:t xml:space="preserve"> assessments, </w:t>
      </w:r>
      <w:r>
        <w:lastRenderedPageBreak/>
        <w:t xml:space="preserve">and maintain responsibility </w:t>
      </w:r>
      <w:r w:rsidRPr="002E4087">
        <w:t xml:space="preserve">for the youth probated and committed to the </w:t>
      </w:r>
      <w:r w:rsidR="007358A6">
        <w:t>D</w:t>
      </w:r>
      <w:r w:rsidRPr="002E4087">
        <w:t>epartme</w:t>
      </w:r>
      <w:r>
        <w:t>nt from all 120 counties of the Commonwealth.</w:t>
      </w:r>
      <w:r w:rsidR="00B130AB">
        <w:t xml:space="preserve"> </w:t>
      </w:r>
      <w:r>
        <w:t xml:space="preserve">Juvenile </w:t>
      </w:r>
      <w:r w:rsidR="007358A6">
        <w:t>s</w:t>
      </w:r>
      <w:r w:rsidRPr="002E4087">
        <w:t xml:space="preserve">ervice workers </w:t>
      </w:r>
      <w:r>
        <w:t xml:space="preserve">(JSW) have case management responsibilities and </w:t>
      </w:r>
      <w:r w:rsidRPr="002E4087">
        <w:t>assess each yo</w:t>
      </w:r>
      <w:r>
        <w:t xml:space="preserve">uth’s needs for supervision and </w:t>
      </w:r>
      <w:r w:rsidRPr="002E4087">
        <w:t>services and play a vital role in the decisions for out-of</w:t>
      </w:r>
      <w:r>
        <w:t xml:space="preserve">-home placement, supervision of </w:t>
      </w:r>
      <w:r w:rsidRPr="002E4087">
        <w:t>youth</w:t>
      </w:r>
      <w:r>
        <w:t xml:space="preserve">, </w:t>
      </w:r>
      <w:r w:rsidRPr="002E4087">
        <w:t xml:space="preserve">and brokering for services within the community. </w:t>
      </w:r>
      <w:r>
        <w:t>The JSWs develop case plans according to DJJ policy timeliness of service delivery; in-treatment, discharge, and aftercare planning; and referrals to community-based service providers.</w:t>
      </w:r>
      <w:r w:rsidR="00B130AB">
        <w:t xml:space="preserve"> </w:t>
      </w:r>
      <w:r>
        <w:t>Current processes employed by DJJ will be modified during the waiver implementation period to ensure the reentry needs of YDC-placed youth are met.</w:t>
      </w:r>
      <w:r w:rsidR="00B130AB">
        <w:t xml:space="preserve"> </w:t>
      </w:r>
    </w:p>
    <w:p w14:paraId="3BBB05BF" w14:textId="77777777" w:rsidR="000C680C" w:rsidRDefault="000C680C" w:rsidP="00CA7468">
      <w:pPr>
        <w:pStyle w:val="Heading3"/>
      </w:pPr>
      <w:bookmarkStart w:id="10" w:name="_Toc150417360"/>
      <w:r>
        <w:t>Waiver-Specific</w:t>
      </w:r>
      <w:bookmarkEnd w:id="10"/>
    </w:p>
    <w:p w14:paraId="10D8388C" w14:textId="5C607D69" w:rsidR="000C680C" w:rsidRDefault="000C680C" w:rsidP="00272214">
      <w:r>
        <w:t xml:space="preserve">Lastly, the Commonwealth has leveraged the TEAMKY </w:t>
      </w:r>
      <w:r w:rsidR="00A63777">
        <w:t xml:space="preserve">Demonstration </w:t>
      </w:r>
      <w:r>
        <w:t>to further enhance the continuum of care for beneficiaries experiencing SUD</w:t>
      </w:r>
      <w:r w:rsidRPr="00307825">
        <w:t>.</w:t>
      </w:r>
      <w:r w:rsidR="00B130AB">
        <w:t xml:space="preserve"> </w:t>
      </w:r>
      <w:r>
        <w:t xml:space="preserve">On November 20, 2018, CMS approved an amendment to </w:t>
      </w:r>
      <w:r w:rsidR="00050D00">
        <w:t>enhance</w:t>
      </w:r>
      <w:r>
        <w:t xml:space="preserve"> SUD</w:t>
      </w:r>
      <w:r w:rsidRPr="002B03C9">
        <w:t xml:space="preserve"> treatment services, </w:t>
      </w:r>
      <w:r w:rsidR="00C74B5A">
        <w:t xml:space="preserve">while </w:t>
      </w:r>
      <w:r w:rsidRPr="002B03C9">
        <w:t>standard of care for drug treatment in Kentucky.</w:t>
      </w:r>
      <w:r w:rsidR="00B130AB">
        <w:t xml:space="preserve"> </w:t>
      </w:r>
      <w:r>
        <w:t>In addition to allowing for the provision of</w:t>
      </w:r>
      <w:r w:rsidRPr="002B03C9">
        <w:t xml:space="preserve"> treatment and withdrawal management services for SUD</w:t>
      </w:r>
      <w:r>
        <w:t xml:space="preserve"> to beneficiaries</w:t>
      </w:r>
      <w:r w:rsidRPr="002B03C9">
        <w:t xml:space="preserve"> who are short-term residents in facilities that meet the definition of an IMD</w:t>
      </w:r>
      <w:r>
        <w:t xml:space="preserve">, the amendment enabled the </w:t>
      </w:r>
      <w:r w:rsidR="003D1641">
        <w:t xml:space="preserve">Commonwealth </w:t>
      </w:r>
      <w:r>
        <w:t>to: (1) require that</w:t>
      </w:r>
      <w:r w:rsidRPr="002B03C9">
        <w:t xml:space="preserve"> MCOs and providers assess treatment needs based on SUD-specific</w:t>
      </w:r>
      <w:r>
        <w:t xml:space="preserve"> </w:t>
      </w:r>
      <w:r w:rsidRPr="002B03C9">
        <w:t>assessment tools</w:t>
      </w:r>
      <w:r>
        <w:t xml:space="preserve">; (2) establish </w:t>
      </w:r>
      <w:r w:rsidRPr="00F22ED4">
        <w:t xml:space="preserve">a utilization management approach </w:t>
      </w:r>
      <w:r>
        <w:t xml:space="preserve">to ensure </w:t>
      </w:r>
      <w:r w:rsidRPr="00F22ED4">
        <w:t xml:space="preserve">access to SUD services at the appropriate level </w:t>
      </w:r>
      <w:r>
        <w:t xml:space="preserve">of care; (3) establish a </w:t>
      </w:r>
      <w:r w:rsidRPr="002B03C9">
        <w:t xml:space="preserve">process to ensure residential treatment providers deliver care consistent with </w:t>
      </w:r>
      <w:r w:rsidRPr="009E6DD5">
        <w:t xml:space="preserve">American Society for Addiction Medicine </w:t>
      </w:r>
      <w:r>
        <w:t>(</w:t>
      </w:r>
      <w:r w:rsidRPr="00E646E5">
        <w:t>ASAM</w:t>
      </w:r>
      <w:r>
        <w:t>)</w:t>
      </w:r>
      <w:r w:rsidRPr="00E646E5">
        <w:t xml:space="preserve"> </w:t>
      </w:r>
      <w:r w:rsidR="00655473">
        <w:t>c</w:t>
      </w:r>
      <w:r w:rsidRPr="00E646E5">
        <w:t>riteri</w:t>
      </w:r>
      <w:r>
        <w:t xml:space="preserve">a and that they </w:t>
      </w:r>
      <w:r w:rsidRPr="002B03C9">
        <w:t>offer MAT on</w:t>
      </w:r>
      <w:r w:rsidR="00655473">
        <w:t xml:space="preserve"> </w:t>
      </w:r>
      <w:r w:rsidRPr="002B03C9">
        <w:t>site or facilitate access off</w:t>
      </w:r>
      <w:r w:rsidR="00655473">
        <w:t xml:space="preserve"> </w:t>
      </w:r>
      <w:r w:rsidRPr="002B03C9">
        <w:t>site</w:t>
      </w:r>
      <w:r w:rsidR="00655473">
        <w:t>;</w:t>
      </w:r>
      <w:r w:rsidRPr="002B03C9">
        <w:t xml:space="preserve"> (</w:t>
      </w:r>
      <w:r w:rsidR="003D1641">
        <w:t>4</w:t>
      </w:r>
      <w:r w:rsidRPr="002B03C9">
        <w:t xml:space="preserve">) </w:t>
      </w:r>
      <w:r>
        <w:t xml:space="preserve">implement </w:t>
      </w:r>
      <w:r w:rsidRPr="002B03C9">
        <w:t xml:space="preserve">guidelines </w:t>
      </w:r>
      <w:r>
        <w:t>and</w:t>
      </w:r>
      <w:r w:rsidRPr="002B03C9">
        <w:t xml:space="preserve"> interventions to prevent prescription drug abuse and expand access to naloxone; (</w:t>
      </w:r>
      <w:r w:rsidR="003D1641">
        <w:t>5</w:t>
      </w:r>
      <w:r w:rsidRPr="002B03C9">
        <w:t xml:space="preserve">) </w:t>
      </w:r>
      <w:r>
        <w:t>develop</w:t>
      </w:r>
      <w:r w:rsidRPr="002B03C9">
        <w:t xml:space="preserve"> an SUD health information technology </w:t>
      </w:r>
      <w:r w:rsidR="00FD1142">
        <w:t xml:space="preserve">(HIT) </w:t>
      </w:r>
      <w:r w:rsidRPr="002B03C9">
        <w:t>plan; and (</w:t>
      </w:r>
      <w:r w:rsidR="003D1641">
        <w:t>6</w:t>
      </w:r>
      <w:r w:rsidRPr="002B03C9">
        <w:t xml:space="preserve">) </w:t>
      </w:r>
      <w:r>
        <w:t xml:space="preserve">implement </w:t>
      </w:r>
      <w:r w:rsidRPr="002B03C9">
        <w:t>policies to ensure residential and inpatient facilities link beneficiaries with community-based services and supports</w:t>
      </w:r>
      <w:r>
        <w:t>.</w:t>
      </w:r>
      <w:r w:rsidRPr="002B03C9">
        <w:t xml:space="preserve"> </w:t>
      </w:r>
      <w:r>
        <w:t xml:space="preserve">Recent mid-point and interim evaluations </w:t>
      </w:r>
      <w:r w:rsidRPr="003302F6">
        <w:t xml:space="preserve">of the </w:t>
      </w:r>
      <w:r w:rsidR="00050D00">
        <w:t xml:space="preserve">TEAMKY </w:t>
      </w:r>
      <w:r>
        <w:t>Demonstration’s</w:t>
      </w:r>
      <w:r w:rsidRPr="003302F6">
        <w:t xml:space="preserve"> SUD waiver </w:t>
      </w:r>
      <w:r>
        <w:t xml:space="preserve">noted that the </w:t>
      </w:r>
      <w:r w:rsidRPr="00120ED0">
        <w:t>Commonwealth has been successful in increasing the availability of SUD-related services to Medicaid benefic</w:t>
      </w:r>
      <w:r>
        <w:t>iaries as evidenced by a decrease in emergency department visits for SUD-related diagnosis, a decrease in inpatient admissions for beneficiaries with SUD diagnosis, and a decrease in 30-day hospital readmissions for beneficiaries with SUD.</w:t>
      </w:r>
      <w:r w:rsidR="00B130AB">
        <w:t xml:space="preserve"> </w:t>
      </w:r>
      <w:r w:rsidR="00C74B5A">
        <w:t>However</w:t>
      </w:r>
      <w:r>
        <w:t>, the evaluations also highlighted</w:t>
      </w:r>
      <w:r w:rsidRPr="00CC0B75">
        <w:t xml:space="preserve"> a </w:t>
      </w:r>
      <w:r>
        <w:t>lack of access to SUD/OUD services</w:t>
      </w:r>
      <w:r w:rsidRPr="00CC0B75">
        <w:t xml:space="preserve"> for </w:t>
      </w:r>
      <w:r>
        <w:t xml:space="preserve">justice-involved Kentuckians. </w:t>
      </w:r>
    </w:p>
    <w:p w14:paraId="51FE0343" w14:textId="77777777" w:rsidR="000C680C" w:rsidRPr="00905C4B" w:rsidRDefault="000C680C" w:rsidP="00CA7468">
      <w:pPr>
        <w:pStyle w:val="Heading3"/>
      </w:pPr>
      <w:bookmarkStart w:id="11" w:name="_Toc150417361"/>
      <w:r>
        <w:t>S</w:t>
      </w:r>
      <w:r w:rsidRPr="00905C4B">
        <w:t xml:space="preserve">takeholder </w:t>
      </w:r>
      <w:r>
        <w:t>Engagement</w:t>
      </w:r>
      <w:bookmarkEnd w:id="11"/>
    </w:p>
    <w:p w14:paraId="18D00838" w14:textId="716CA2E8" w:rsidR="000C680C" w:rsidRDefault="000C680C" w:rsidP="009965D5">
      <w:pPr>
        <w:spacing w:after="120"/>
      </w:pPr>
      <w:r>
        <w:t xml:space="preserve">The Commonwealth has conducted significant stakeholder engagement to inform the </w:t>
      </w:r>
      <w:r w:rsidR="00050D00">
        <w:t xml:space="preserve">Proposed Reentry </w:t>
      </w:r>
      <w:r w:rsidR="00C74B5A">
        <w:t xml:space="preserve">Demonstration </w:t>
      </w:r>
      <w:r>
        <w:t>request.</w:t>
      </w:r>
      <w:r w:rsidR="00B130AB">
        <w:t xml:space="preserve"> </w:t>
      </w:r>
      <w:r>
        <w:t xml:space="preserve">In addition to leveraging input received during planning and public transparency-related activities associated with the original </w:t>
      </w:r>
      <w:r w:rsidR="00C74B5A">
        <w:t>incarceration</w:t>
      </w:r>
      <w:r>
        <w:t xml:space="preserve"> request, DMS has spent much of the past year conducting key informant interviews and </w:t>
      </w:r>
      <w:r w:rsidRPr="008168D9">
        <w:t>focus groups</w:t>
      </w:r>
      <w:r>
        <w:t xml:space="preserve"> </w:t>
      </w:r>
      <w:r w:rsidRPr="008168D9">
        <w:t xml:space="preserve">to identify </w:t>
      </w:r>
      <w:r>
        <w:t xml:space="preserve">the current state of reentry policies and processes, discover </w:t>
      </w:r>
      <w:r w:rsidRPr="008168D9">
        <w:t>challenges</w:t>
      </w:r>
      <w:r>
        <w:t xml:space="preserve"> and barriers</w:t>
      </w:r>
      <w:r w:rsidRPr="008168D9">
        <w:t xml:space="preserve">, </w:t>
      </w:r>
      <w:r>
        <w:t>recognize</w:t>
      </w:r>
      <w:r w:rsidRPr="008168D9">
        <w:t xml:space="preserve"> </w:t>
      </w:r>
      <w:r>
        <w:t xml:space="preserve">the </w:t>
      </w:r>
      <w:proofErr w:type="gramStart"/>
      <w:r>
        <w:t>needs</w:t>
      </w:r>
      <w:proofErr w:type="gramEnd"/>
      <w:r>
        <w:t xml:space="preserve"> and wants of the stakeholders, and gain a clear understanding of existing infrastructure and opportunities.</w:t>
      </w:r>
      <w:r w:rsidR="00B130AB">
        <w:t xml:space="preserve"> </w:t>
      </w:r>
      <w:r>
        <w:t xml:space="preserve">Stakeholders have included, but were not limited to, representatives from various Kentucky administrative agencies (i.e., DOC; DJJ; </w:t>
      </w:r>
      <w:r w:rsidRPr="00905C4B">
        <w:t>Department of Public Hea</w:t>
      </w:r>
      <w:r>
        <w:t>lth; D</w:t>
      </w:r>
      <w:r w:rsidRPr="00905C4B">
        <w:t>epartment for Behavioral Health, Developmental and I</w:t>
      </w:r>
      <w:r>
        <w:t xml:space="preserve">ntellectual Disabilities; </w:t>
      </w:r>
      <w:r w:rsidR="00C74B5A">
        <w:t>ODCP</w:t>
      </w:r>
      <w:r>
        <w:t>; and A</w:t>
      </w:r>
      <w:r w:rsidRPr="00905C4B">
        <w:t>dministr</w:t>
      </w:r>
      <w:r>
        <w:t>ative Office of the Courts), as well as each of the six Medicaid</w:t>
      </w:r>
      <w:r w:rsidR="006C16E0">
        <w:t xml:space="preserve"> </w:t>
      </w:r>
      <w:r>
        <w:t xml:space="preserve">MCOs (i.e., </w:t>
      </w:r>
      <w:r w:rsidRPr="00905C4B">
        <w:t>Aetna, Anthem, Humana, Molina, United Healthcare, and WellCare</w:t>
      </w:r>
      <w:r>
        <w:t>).</w:t>
      </w:r>
      <w:r w:rsidR="00B130AB">
        <w:t xml:space="preserve"> </w:t>
      </w:r>
      <w:r>
        <w:t xml:space="preserve">In addition, DMS has actively participated in, and solicited input from, members of the </w:t>
      </w:r>
      <w:r w:rsidRPr="00611F6E">
        <w:t>Pharmacy Technical Advisory Committee (TAC)</w:t>
      </w:r>
      <w:r>
        <w:t xml:space="preserve">, the </w:t>
      </w:r>
      <w:r w:rsidRPr="00905C4B">
        <w:t xml:space="preserve">Behavioral Health </w:t>
      </w:r>
      <w:r>
        <w:t>TAC, and P</w:t>
      </w:r>
      <w:r w:rsidRPr="00905C4B">
        <w:t xml:space="preserve">ersons Returning to Society from Incarceration </w:t>
      </w:r>
      <w:r>
        <w:t xml:space="preserve">TAC, which </w:t>
      </w:r>
      <w:r>
        <w:lastRenderedPageBreak/>
        <w:t>includes members with lived experience.</w:t>
      </w:r>
      <w:r>
        <w:rPr>
          <w:rStyle w:val="FootnoteReference"/>
        </w:rPr>
        <w:footnoteReference w:id="67"/>
      </w:r>
      <w:r w:rsidR="00B130AB">
        <w:t xml:space="preserve"> </w:t>
      </w:r>
      <w:r>
        <w:t xml:space="preserve">Each of these TACs </w:t>
      </w:r>
      <w:r w:rsidRPr="008330A0">
        <w:t>act</w:t>
      </w:r>
      <w:r>
        <w:t>s</w:t>
      </w:r>
      <w:r w:rsidRPr="008330A0">
        <w:t xml:space="preserve"> as </w:t>
      </w:r>
      <w:r>
        <w:t xml:space="preserve">an </w:t>
      </w:r>
      <w:r w:rsidRPr="008330A0">
        <w:t>advisor to the Advisory</w:t>
      </w:r>
      <w:r>
        <w:t xml:space="preserve"> Council for Medical Assistance and include providers and</w:t>
      </w:r>
      <w:r w:rsidRPr="008330A0">
        <w:t xml:space="preserve"> individuals representing Medicaid beneficiaries.</w:t>
      </w:r>
      <w:r w:rsidR="00B130AB">
        <w:t xml:space="preserve"> </w:t>
      </w:r>
      <w:r>
        <w:t xml:space="preserve">Quantitative and qualitative data gathered through the </w:t>
      </w:r>
      <w:proofErr w:type="gramStart"/>
      <w:r>
        <w:t>aforementioned activities</w:t>
      </w:r>
      <w:proofErr w:type="gramEnd"/>
      <w:r>
        <w:t xml:space="preserve"> were analyzed and organized into four key areas: </w:t>
      </w:r>
    </w:p>
    <w:p w14:paraId="7FD80EE0" w14:textId="77777777" w:rsidR="000C680C" w:rsidRPr="00905C4B" w:rsidRDefault="000C680C" w:rsidP="00152820">
      <w:pPr>
        <w:pStyle w:val="ListParagraph"/>
        <w:numPr>
          <w:ilvl w:val="0"/>
          <w:numId w:val="4"/>
        </w:numPr>
        <w:spacing w:after="120"/>
        <w:ind w:left="720"/>
        <w:rPr>
          <w:b/>
        </w:rPr>
      </w:pPr>
      <w:r w:rsidRPr="002073E8">
        <w:rPr>
          <w:b/>
          <w:i/>
        </w:rPr>
        <w:t>Organizational Priorities Relative to the Reentry Population.</w:t>
      </w:r>
      <w:r w:rsidRPr="002073E8">
        <w:rPr>
          <w:b/>
        </w:rPr>
        <w:t xml:space="preserve"> </w:t>
      </w:r>
      <w:r w:rsidRPr="00611F6E">
        <w:t>Defined organizational priorities</w:t>
      </w:r>
      <w:r w:rsidRPr="00BF750F">
        <w:t xml:space="preserve"> to understand where goals align with the needs and aspirations of the Reentry population and </w:t>
      </w:r>
      <w:r>
        <w:t xml:space="preserve">their </w:t>
      </w:r>
      <w:r w:rsidRPr="00BF750F">
        <w:t>communities.</w:t>
      </w:r>
      <w:r w:rsidR="00B130AB">
        <w:t xml:space="preserve"> </w:t>
      </w:r>
      <w:r w:rsidRPr="00BF750F">
        <w:t>The analysis provided insight into how well each organization</w:t>
      </w:r>
      <w:r>
        <w:t>al</w:t>
      </w:r>
      <w:r w:rsidRPr="00BF750F">
        <w:t xml:space="preserve"> program </w:t>
      </w:r>
      <w:r>
        <w:t>is prepared to support</w:t>
      </w:r>
      <w:r w:rsidRPr="00BF750F">
        <w:t xml:space="preserve"> Kentucky’s mission and vision in providing comprehensive care to individuals returning to the community.</w:t>
      </w:r>
    </w:p>
    <w:p w14:paraId="1EBFB2F8" w14:textId="76D64A21" w:rsidR="000C680C" w:rsidRPr="00611F6E" w:rsidRDefault="000C680C" w:rsidP="00152820">
      <w:pPr>
        <w:pStyle w:val="ListParagraph"/>
        <w:numPr>
          <w:ilvl w:val="0"/>
          <w:numId w:val="4"/>
        </w:numPr>
        <w:spacing w:after="120"/>
        <w:ind w:left="720"/>
      </w:pPr>
      <w:r w:rsidRPr="002073E8">
        <w:rPr>
          <w:b/>
          <w:i/>
        </w:rPr>
        <w:t>Care Coordination and Case Management.</w:t>
      </w:r>
      <w:r w:rsidRPr="002073E8">
        <w:rPr>
          <w:b/>
        </w:rPr>
        <w:t xml:space="preserve"> </w:t>
      </w:r>
      <w:r w:rsidRPr="00611F6E">
        <w:t xml:space="preserve">Recognizing that efficient care coordination and robust case management are vital components of the </w:t>
      </w:r>
      <w:r w:rsidR="00050D00">
        <w:t>Proposed Reentry Demonstration</w:t>
      </w:r>
      <w:r w:rsidRPr="00611F6E">
        <w:t>, feedback from each stakeholder group revealed essential insights into the effectiveness and areas for improvement in these core aspects of the program.</w:t>
      </w:r>
    </w:p>
    <w:p w14:paraId="3B4196DB" w14:textId="77777777" w:rsidR="000C680C" w:rsidRPr="00611F6E" w:rsidRDefault="000C680C" w:rsidP="00152820">
      <w:pPr>
        <w:pStyle w:val="ListParagraph"/>
        <w:numPr>
          <w:ilvl w:val="0"/>
          <w:numId w:val="4"/>
        </w:numPr>
        <w:spacing w:after="120"/>
        <w:ind w:left="720"/>
      </w:pPr>
      <w:r w:rsidRPr="002073E8">
        <w:rPr>
          <w:b/>
          <w:i/>
        </w:rPr>
        <w:t>Barriers and Challenges with Reentry and Recidivism.</w:t>
      </w:r>
      <w:r w:rsidRPr="00611F6E">
        <w:t xml:space="preserve"> To meaningfully address the issues of recidivism, it was necessary to identify the barriers and challenges that justice-involved individuals face during the reentry process. Stakeholders</w:t>
      </w:r>
      <w:r w:rsidR="004643FF">
        <w:t>’</w:t>
      </w:r>
      <w:r w:rsidRPr="00611F6E">
        <w:t xml:space="preserve"> experiences and insights offered a comprehensive view of these obstacles, enabling the Commonwealth to adapt strategies and interventions according to population need. </w:t>
      </w:r>
    </w:p>
    <w:p w14:paraId="5E452354" w14:textId="77777777" w:rsidR="000C680C" w:rsidRPr="00611F6E" w:rsidRDefault="000C680C" w:rsidP="00152820">
      <w:pPr>
        <w:pStyle w:val="ListParagraph"/>
        <w:numPr>
          <w:ilvl w:val="0"/>
          <w:numId w:val="4"/>
        </w:numPr>
        <w:ind w:left="720"/>
      </w:pPr>
      <w:r w:rsidRPr="002073E8">
        <w:rPr>
          <w:b/>
          <w:i/>
        </w:rPr>
        <w:t>Systems, Processes, and Protocols.</w:t>
      </w:r>
      <w:r w:rsidRPr="002073E8">
        <w:rPr>
          <w:b/>
        </w:rPr>
        <w:t xml:space="preserve"> </w:t>
      </w:r>
      <w:r w:rsidRPr="00611F6E">
        <w:t>Kentucky operates an intricate web of systems, processes, and protocols to support individuals returning to their communities after incarceration. Stakeholder feedback provided awareness regarding how well these components function, existing challenges, and areas to optimize the program</w:t>
      </w:r>
      <w:r w:rsidR="004643FF">
        <w:t>’</w:t>
      </w:r>
      <w:r w:rsidRPr="00611F6E">
        <w:t>s efficiency and overall effectiveness.</w:t>
      </w:r>
    </w:p>
    <w:p w14:paraId="1D692A34" w14:textId="77777777" w:rsidR="000C680C" w:rsidRDefault="000C680C" w:rsidP="009965D5">
      <w:pPr>
        <w:spacing w:after="120"/>
      </w:pPr>
      <w:r>
        <w:t xml:space="preserve">Stakeholder feedback also identified the following needs, challenges, and opportunities to be addressed during implementation planning and throughout the waiver period: </w:t>
      </w:r>
    </w:p>
    <w:p w14:paraId="6684DAD0" w14:textId="77777777" w:rsidR="000C680C" w:rsidRDefault="000C680C" w:rsidP="00152820">
      <w:pPr>
        <w:pStyle w:val="WVBullet2"/>
        <w:numPr>
          <w:ilvl w:val="0"/>
          <w:numId w:val="13"/>
        </w:numPr>
        <w:spacing w:after="120"/>
      </w:pPr>
      <w:r w:rsidRPr="00905C4B">
        <w:t xml:space="preserve">Access to </w:t>
      </w:r>
      <w:r>
        <w:t xml:space="preserve">primary care and medication </w:t>
      </w:r>
      <w:r w:rsidRPr="00905C4B">
        <w:t>for chronic conditions, mental health</w:t>
      </w:r>
      <w:r>
        <w:t>,</w:t>
      </w:r>
      <w:r w:rsidRPr="00905C4B">
        <w:t xml:space="preserve"> and </w:t>
      </w:r>
      <w:r>
        <w:t>SUD treatment were viewed as a top priority, yet a core challenge.</w:t>
      </w:r>
    </w:p>
    <w:p w14:paraId="11CB5A2C" w14:textId="77777777" w:rsidR="000C680C" w:rsidRDefault="000C680C" w:rsidP="00152820">
      <w:pPr>
        <w:pStyle w:val="WVBullet2"/>
        <w:numPr>
          <w:ilvl w:val="0"/>
          <w:numId w:val="13"/>
        </w:numPr>
        <w:spacing w:after="120"/>
      </w:pPr>
      <w:r>
        <w:t>Physical and behavioral health linkages were viewed as critical to prevent service disruptions and best facilitate continuity of care.</w:t>
      </w:r>
    </w:p>
    <w:p w14:paraId="414F0015" w14:textId="77777777" w:rsidR="000C680C" w:rsidRDefault="000C680C" w:rsidP="00152820">
      <w:pPr>
        <w:pStyle w:val="WVBullet2"/>
        <w:numPr>
          <w:ilvl w:val="0"/>
          <w:numId w:val="13"/>
        </w:numPr>
        <w:spacing w:after="120"/>
      </w:pPr>
      <w:r w:rsidRPr="00733DE0">
        <w:t>Assessing Medicaid eligibility</w:t>
      </w:r>
      <w:r>
        <w:t xml:space="preserve">, health diagnoses, and </w:t>
      </w:r>
      <w:r w:rsidR="00A9373D">
        <w:t>HRSN</w:t>
      </w:r>
      <w:r w:rsidRPr="00733DE0">
        <w:t xml:space="preserve"> </w:t>
      </w:r>
      <w:r>
        <w:t xml:space="preserve">represents </w:t>
      </w:r>
      <w:r w:rsidRPr="00733DE0">
        <w:t>a shared priority</w:t>
      </w:r>
      <w:r>
        <w:t xml:space="preserve"> among stakeholders</w:t>
      </w:r>
      <w:r w:rsidRPr="00733DE0">
        <w:t>.</w:t>
      </w:r>
    </w:p>
    <w:p w14:paraId="0EC30504" w14:textId="77777777" w:rsidR="000C680C" w:rsidRDefault="000C680C" w:rsidP="00152820">
      <w:pPr>
        <w:pStyle w:val="WVBullet2"/>
        <w:numPr>
          <w:ilvl w:val="0"/>
          <w:numId w:val="13"/>
        </w:numPr>
        <w:spacing w:after="120"/>
      </w:pPr>
      <w:r>
        <w:t xml:space="preserve">Access to housing, reliable transportation, identification documents, employment, and carceral health records were cited as significant barriers to </w:t>
      </w:r>
      <w:r w:rsidRPr="0034381F">
        <w:t xml:space="preserve">successful </w:t>
      </w:r>
      <w:r>
        <w:t xml:space="preserve">reentry. </w:t>
      </w:r>
    </w:p>
    <w:p w14:paraId="6AA426B1" w14:textId="77777777" w:rsidR="000C680C" w:rsidRPr="00611F6E" w:rsidRDefault="000C680C" w:rsidP="00152820">
      <w:pPr>
        <w:pStyle w:val="WVBullet2"/>
        <w:numPr>
          <w:ilvl w:val="0"/>
          <w:numId w:val="13"/>
        </w:numPr>
        <w:spacing w:after="120"/>
      </w:pPr>
      <w:r>
        <w:t>C</w:t>
      </w:r>
      <w:r w:rsidRPr="00611F6E">
        <w:t xml:space="preserve">ase management and care coordination at </w:t>
      </w:r>
      <w:r>
        <w:t xml:space="preserve">state prisons and YDCs must be enhanced </w:t>
      </w:r>
      <w:r w:rsidRPr="00611F6E">
        <w:t xml:space="preserve">to meet the service delivery requirements </w:t>
      </w:r>
      <w:r>
        <w:t>outlined in SMDL</w:t>
      </w:r>
      <w:r w:rsidRPr="00611F6E">
        <w:t xml:space="preserve"> </w:t>
      </w:r>
      <w:r w:rsidR="00873A52">
        <w:t>#</w:t>
      </w:r>
      <w:r w:rsidRPr="00611F6E">
        <w:t>23-003.</w:t>
      </w:r>
    </w:p>
    <w:p w14:paraId="366D5601" w14:textId="77777777" w:rsidR="000C680C" w:rsidRDefault="000C680C" w:rsidP="00152820">
      <w:pPr>
        <w:pStyle w:val="WVBullet2"/>
        <w:numPr>
          <w:ilvl w:val="0"/>
          <w:numId w:val="13"/>
        </w:numPr>
        <w:spacing w:after="120"/>
      </w:pPr>
      <w:r>
        <w:t>Significant opportunities exist to leverage MCO case management services currently provided to formerly incarcerated individuals.</w:t>
      </w:r>
    </w:p>
    <w:p w14:paraId="1B8927F3" w14:textId="77777777" w:rsidR="000C680C" w:rsidRDefault="000C680C" w:rsidP="00152820">
      <w:pPr>
        <w:pStyle w:val="WVBullet2"/>
        <w:numPr>
          <w:ilvl w:val="0"/>
          <w:numId w:val="13"/>
        </w:numPr>
      </w:pPr>
      <w:r>
        <w:lastRenderedPageBreak/>
        <w:t>Fragmented communications, limited data sharing capabilities, and lack of standardized procedures across stakeholders exist.</w:t>
      </w:r>
    </w:p>
    <w:p w14:paraId="77CE68F8" w14:textId="77777777" w:rsidR="000C680C" w:rsidRPr="00CD7EF6" w:rsidRDefault="000C680C" w:rsidP="00D038D6">
      <w:pPr>
        <w:pStyle w:val="Heading2"/>
      </w:pPr>
      <w:bookmarkStart w:id="12" w:name="_Toc150417362"/>
      <w:r w:rsidRPr="00CD7EF6">
        <w:t>Section I.C. Demonstration Hypotheses</w:t>
      </w:r>
      <w:bookmarkEnd w:id="12"/>
    </w:p>
    <w:p w14:paraId="79C70664" w14:textId="75056999" w:rsidR="000C680C" w:rsidRPr="00E177F4" w:rsidRDefault="000C680C" w:rsidP="00272214">
      <w:pPr>
        <w:sectPr w:rsidR="000C680C" w:rsidRPr="00E177F4" w:rsidSect="00DF3F53">
          <w:headerReference w:type="default" r:id="rId14"/>
          <w:footerReference w:type="default" r:id="rId15"/>
          <w:pgSz w:w="12240" w:h="15840" w:code="1"/>
          <w:pgMar w:top="1440" w:right="1440" w:bottom="1440" w:left="1440" w:header="0" w:footer="288" w:gutter="0"/>
          <w:pgNumType w:start="1"/>
          <w:cols w:space="720"/>
        </w:sectPr>
      </w:pPr>
      <w:r>
        <w:t>Consistent with SMDL #23-003, t</w:t>
      </w:r>
      <w:r w:rsidRPr="009E6DD5">
        <w:t xml:space="preserve">he </w:t>
      </w:r>
      <w:r>
        <w:t xml:space="preserve">purpose of this </w:t>
      </w:r>
      <w:r w:rsidR="00050D00">
        <w:t xml:space="preserve">Proposed Reentry </w:t>
      </w:r>
      <w:r w:rsidR="00C74B5A">
        <w:t xml:space="preserve">Demonstration </w:t>
      </w:r>
      <w:r>
        <w:t xml:space="preserve">amendment </w:t>
      </w:r>
      <w:r w:rsidRPr="009E6DD5">
        <w:t xml:space="preserve">is to </w:t>
      </w:r>
      <w:r>
        <w:t>a</w:t>
      </w:r>
      <w:r w:rsidRPr="0075716B">
        <w:t xml:space="preserve">dvance the goals of the Medicaid statute </w:t>
      </w:r>
      <w:r>
        <w:t xml:space="preserve">and </w:t>
      </w:r>
      <w:r w:rsidRPr="00C436AE">
        <w:t>provide coverage for</w:t>
      </w:r>
      <w:r>
        <w:t xml:space="preserve"> </w:t>
      </w:r>
      <w:r w:rsidRPr="00C436AE">
        <w:t>certain Medicaid services to individuals who are soon</w:t>
      </w:r>
      <w:r w:rsidR="00C74B5A">
        <w:t>-</w:t>
      </w:r>
      <w:r w:rsidRPr="00C436AE">
        <w:t>to</w:t>
      </w:r>
      <w:r w:rsidR="00C74B5A">
        <w:t>-</w:t>
      </w:r>
      <w:r w:rsidRPr="00C436AE">
        <w:t>be released from</w:t>
      </w:r>
      <w:r>
        <w:t xml:space="preserve"> </w:t>
      </w:r>
      <w:r w:rsidRPr="00C436AE">
        <w:t xml:space="preserve">incarceration, consistent with </w:t>
      </w:r>
      <w:r w:rsidR="007D63D0">
        <w:t>S</w:t>
      </w:r>
      <w:r w:rsidR="007D63D0" w:rsidRPr="00C436AE">
        <w:t xml:space="preserve">ection </w:t>
      </w:r>
      <w:r w:rsidRPr="00C436AE">
        <w:t>5032 of the Substance Use</w:t>
      </w:r>
      <w:r w:rsidR="001B29EE">
        <w:t xml:space="preserve"> </w:t>
      </w:r>
      <w:r w:rsidRPr="00C436AE">
        <w:t>Disorder Prevention</w:t>
      </w:r>
      <w:r>
        <w:t xml:space="preserve"> </w:t>
      </w:r>
      <w:r w:rsidRPr="00C436AE">
        <w:t>that Promotes Opioid Recovery and Treatment for Patients and Communities Act (Pub</w:t>
      </w:r>
      <w:r w:rsidR="001B29EE">
        <w:t>lication</w:t>
      </w:r>
      <w:r w:rsidRPr="00C436AE">
        <w:t xml:space="preserve"> L. No. 115-271)</w:t>
      </w:r>
      <w:r>
        <w:t>.</w:t>
      </w:r>
      <w:r w:rsidR="00B130AB">
        <w:t xml:space="preserve"> </w:t>
      </w:r>
      <w:r w:rsidR="00A97FB2" w:rsidRPr="00A97FB2">
        <w:rPr>
          <w:i/>
        </w:rPr>
        <w:fldChar w:fldCharType="begin"/>
      </w:r>
      <w:r w:rsidR="00A97FB2" w:rsidRPr="00A97FB2">
        <w:rPr>
          <w:i/>
        </w:rPr>
        <w:instrText xml:space="preserve"> REF _Ref150161876 \h </w:instrText>
      </w:r>
      <w:r w:rsidR="00A97FB2">
        <w:rPr>
          <w:i/>
        </w:rPr>
        <w:instrText xml:space="preserve"> \* MERGEFORMAT </w:instrText>
      </w:r>
      <w:r w:rsidR="00A97FB2" w:rsidRPr="00A97FB2">
        <w:rPr>
          <w:i/>
        </w:rPr>
      </w:r>
      <w:r w:rsidR="00A97FB2" w:rsidRPr="00A97FB2">
        <w:rPr>
          <w:i/>
        </w:rPr>
        <w:fldChar w:fldCharType="separate"/>
      </w:r>
      <w:r w:rsidR="001A1A35" w:rsidRPr="001A1A35">
        <w:rPr>
          <w:i/>
        </w:rPr>
        <w:t xml:space="preserve">Table </w:t>
      </w:r>
      <w:r w:rsidR="001A1A35" w:rsidRPr="001A1A35">
        <w:rPr>
          <w:i/>
          <w:noProof/>
        </w:rPr>
        <w:t>1</w:t>
      </w:r>
      <w:r w:rsidR="00A97FB2" w:rsidRPr="00A97FB2">
        <w:rPr>
          <w:i/>
        </w:rPr>
        <w:fldChar w:fldCharType="end"/>
      </w:r>
      <w:r w:rsidRPr="00A97FB2">
        <w:rPr>
          <w:i/>
        </w:rPr>
        <w:t xml:space="preserve"> </w:t>
      </w:r>
      <w:r w:rsidRPr="009E6DD5">
        <w:t>details the goals of the program</w:t>
      </w:r>
      <w:r>
        <w:t>, as well as</w:t>
      </w:r>
      <w:r w:rsidRPr="009E6DD5">
        <w:t xml:space="preserve"> preliminary </w:t>
      </w:r>
      <w:r>
        <w:t>hypotheses, measurements, and data sources, which have</w:t>
      </w:r>
      <w:r w:rsidRPr="009E6DD5">
        <w:t xml:space="preserve"> been developed consistent with CMS guidance for evaluation of 1115 </w:t>
      </w:r>
      <w:r>
        <w:t>d</w:t>
      </w:r>
      <w:r w:rsidRPr="009E6DD5">
        <w:t>emonstrations</w:t>
      </w:r>
      <w:r w:rsidRPr="0009704D">
        <w:t>.</w:t>
      </w:r>
      <w:r w:rsidR="00B130AB">
        <w:t xml:space="preserve"> </w:t>
      </w:r>
      <w:r>
        <w:t xml:space="preserve">A final, detailed </w:t>
      </w:r>
      <w:r w:rsidRPr="0009704D">
        <w:t xml:space="preserve">evaluation methodology will be submitted </w:t>
      </w:r>
      <w:r>
        <w:t>following</w:t>
      </w:r>
      <w:r w:rsidRPr="0009704D">
        <w:t xml:space="preserve"> approval of the </w:t>
      </w:r>
      <w:r w:rsidR="00050D00">
        <w:t xml:space="preserve">Proposed Reentry Demonstration </w:t>
      </w:r>
      <w:r w:rsidRPr="0009704D">
        <w:t>via the revised evaluation design</w:t>
      </w:r>
      <w:r w:rsidRPr="00905C4B">
        <w:t xml:space="preserve">. The design will include a theory of change for </w:t>
      </w:r>
      <w:r w:rsidR="00C74B5A">
        <w:t xml:space="preserve">the </w:t>
      </w:r>
      <w:r w:rsidR="00050D00">
        <w:t xml:space="preserve">Proposed Reentry Demonstration </w:t>
      </w:r>
      <w:r w:rsidRPr="00905C4B">
        <w:t>and a framework for measuring near-term, intermediate, and long-term impact</w:t>
      </w:r>
      <w:r>
        <w:t>s</w:t>
      </w:r>
      <w:r w:rsidRPr="00905C4B">
        <w:t xml:space="preserve"> of the program on health improvement, coordination, and system, practice</w:t>
      </w:r>
      <w:r>
        <w:t>,</w:t>
      </w:r>
      <w:r w:rsidRPr="00905C4B">
        <w:t xml:space="preserve"> and policy changes to support and sustain transformation</w:t>
      </w:r>
      <w:r w:rsidRPr="0009704D">
        <w:t>.</w:t>
      </w:r>
    </w:p>
    <w:p w14:paraId="634D268F" w14:textId="5B09E457" w:rsidR="002073E8" w:rsidRDefault="002073E8" w:rsidP="00746864">
      <w:pPr>
        <w:pStyle w:val="Caption"/>
        <w:spacing w:after="0"/>
      </w:pPr>
      <w:bookmarkStart w:id="13" w:name="_Ref150161876"/>
      <w:r w:rsidRPr="002073E8">
        <w:lastRenderedPageBreak/>
        <w:t xml:space="preserve">Table </w:t>
      </w:r>
      <w:fldSimple w:instr=" SEQ Table \* ARABIC ">
        <w:r w:rsidR="001A1A35">
          <w:rPr>
            <w:noProof/>
          </w:rPr>
          <w:t>1</w:t>
        </w:r>
      </w:fldSimple>
      <w:bookmarkEnd w:id="13"/>
      <w:r w:rsidRPr="002073E8">
        <w:t xml:space="preserve">. </w:t>
      </w:r>
      <w:r w:rsidR="00A35A77">
        <w:t>Proposed Reentry Demonstration</w:t>
      </w:r>
      <w:r w:rsidRPr="002073E8">
        <w:t xml:space="preserve"> Goals and Hypotheses</w:t>
      </w:r>
    </w:p>
    <w:p w14:paraId="21CD1C16" w14:textId="77777777" w:rsidR="00341DAF" w:rsidRPr="00D20454" w:rsidRDefault="00341DAF" w:rsidP="00923CA6">
      <w:pPr>
        <w:pStyle w:val="Heading4"/>
        <w:rPr>
          <w:color w:val="093865"/>
        </w:rPr>
      </w:pPr>
      <w:r w:rsidRPr="00D20454">
        <w:rPr>
          <w:color w:val="093865"/>
        </w:rPr>
        <w:t xml:space="preserve">Goal 1 </w:t>
      </w:r>
    </w:p>
    <w:p w14:paraId="54BB2D31" w14:textId="77777777" w:rsidR="00341DAF" w:rsidRPr="00D20454" w:rsidRDefault="00341DAF" w:rsidP="00923CA6">
      <w:pPr>
        <w:spacing w:after="120"/>
        <w:rPr>
          <w:b/>
          <w:color w:val="093865"/>
        </w:rPr>
      </w:pPr>
      <w:r w:rsidRPr="00D20454">
        <w:rPr>
          <w:b/>
          <w:color w:val="093865"/>
        </w:rPr>
        <w:t>Improve access to services by increasing coverage, continuity of coverage, and appropriate service uptake for eligible incarcerated adults and YDC-placed youth.</w:t>
      </w:r>
    </w:p>
    <w:tbl>
      <w:tblPr>
        <w:tblStyle w:val="TableGrid"/>
        <w:tblW w:w="132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e 1, Goal 1"/>
        <w:tblDescription w:val="Hypothesis 1: The program will improve uptake and continuity of MAT services and other physical and behavioral health treatment, thereby reducing decompensation, suicide-related death, overdose, and overdose-related death. Potentional Measurements: In aggregate, by target population, determine whether there was a change in physical health services delivered, behavioral health services delivered, and/or health outcomes during the post-release period. In aggregate, by target population, determine whether there was a change in the number of individuals who received MAT and/or RRSS, as well as overall health outcomes, during the post-release period. Data Sources: Correctional records, Medicaid claims data, MCO data, health data (where available), HRA data, and surveys of MCO case managers and justice-involved individuals at release and prior to end of post-release period. &#10;"/>
      </w:tblPr>
      <w:tblGrid>
        <w:gridCol w:w="3325"/>
        <w:gridCol w:w="5400"/>
        <w:gridCol w:w="4500"/>
      </w:tblGrid>
      <w:tr w:rsidR="000C680C" w:rsidRPr="00D30957" w14:paraId="1F136D28" w14:textId="77777777" w:rsidTr="00746864">
        <w:trPr>
          <w:trHeight w:val="20"/>
          <w:tblHeader/>
        </w:trPr>
        <w:tc>
          <w:tcPr>
            <w:tcW w:w="3325" w:type="dxa"/>
            <w:shd w:val="clear" w:color="auto" w:fill="093865"/>
            <w:vAlign w:val="bottom"/>
          </w:tcPr>
          <w:p w14:paraId="2BC1894B" w14:textId="1E752E6A" w:rsidR="009B6D15" w:rsidRPr="00746864" w:rsidRDefault="000C680C" w:rsidP="009B6D15">
            <w:pPr>
              <w:spacing w:after="0"/>
              <w:jc w:val="center"/>
              <w:rPr>
                <w:b/>
                <w:color w:val="FFFFFF" w:themeColor="background1"/>
              </w:rPr>
            </w:pPr>
            <w:r w:rsidRPr="00746864">
              <w:rPr>
                <w:b/>
                <w:color w:val="FFFFFF" w:themeColor="background1"/>
              </w:rPr>
              <w:t>Hypothesis 1</w:t>
            </w:r>
          </w:p>
        </w:tc>
        <w:tc>
          <w:tcPr>
            <w:tcW w:w="5400" w:type="dxa"/>
            <w:shd w:val="clear" w:color="auto" w:fill="093865"/>
            <w:vAlign w:val="bottom"/>
          </w:tcPr>
          <w:p w14:paraId="3ABCC994" w14:textId="77777777" w:rsidR="000C680C" w:rsidRPr="00746864" w:rsidRDefault="000C680C" w:rsidP="00341DAF">
            <w:pPr>
              <w:spacing w:after="0"/>
              <w:jc w:val="center"/>
              <w:rPr>
                <w:b/>
                <w:color w:val="FFFFFF" w:themeColor="background1"/>
              </w:rPr>
            </w:pPr>
            <w:r w:rsidRPr="00746864">
              <w:rPr>
                <w:b/>
                <w:color w:val="FFFFFF" w:themeColor="background1"/>
              </w:rPr>
              <w:t>Potential Measurement(s)</w:t>
            </w:r>
          </w:p>
        </w:tc>
        <w:tc>
          <w:tcPr>
            <w:tcW w:w="4500" w:type="dxa"/>
            <w:shd w:val="clear" w:color="auto" w:fill="093865"/>
            <w:vAlign w:val="bottom"/>
          </w:tcPr>
          <w:p w14:paraId="778E099B" w14:textId="77777777" w:rsidR="000C680C" w:rsidRPr="00746864" w:rsidRDefault="000C680C" w:rsidP="00341DAF">
            <w:pPr>
              <w:spacing w:after="0"/>
              <w:jc w:val="center"/>
              <w:rPr>
                <w:b/>
                <w:color w:val="FFFFFF" w:themeColor="background1"/>
              </w:rPr>
            </w:pPr>
            <w:r w:rsidRPr="00746864">
              <w:rPr>
                <w:b/>
                <w:color w:val="FFFFFF" w:themeColor="background1"/>
              </w:rPr>
              <w:t>Data Source(s)</w:t>
            </w:r>
          </w:p>
        </w:tc>
      </w:tr>
      <w:tr w:rsidR="000C680C" w:rsidRPr="00D30957" w14:paraId="028EC9D0" w14:textId="77777777" w:rsidTr="00341DAF">
        <w:trPr>
          <w:trHeight w:val="3050"/>
        </w:trPr>
        <w:tc>
          <w:tcPr>
            <w:tcW w:w="3325" w:type="dxa"/>
          </w:tcPr>
          <w:p w14:paraId="474F5619" w14:textId="77777777" w:rsidR="000C680C" w:rsidRPr="00D30957" w:rsidRDefault="000C680C" w:rsidP="00341DAF">
            <w:pPr>
              <w:spacing w:after="0"/>
            </w:pPr>
            <w:r>
              <w:t xml:space="preserve">The program will </w:t>
            </w:r>
            <w:r w:rsidRPr="00D30957">
              <w:t>improve uptake and continuity of MAT services and other physical and behavioral health treatment</w:t>
            </w:r>
            <w:r>
              <w:t xml:space="preserve">, thereby reducing </w:t>
            </w:r>
            <w:r w:rsidRPr="00D30957">
              <w:t>decompensation, suicide-related death, overdose, and overdose-related death.</w:t>
            </w:r>
          </w:p>
        </w:tc>
        <w:tc>
          <w:tcPr>
            <w:tcW w:w="5400" w:type="dxa"/>
          </w:tcPr>
          <w:p w14:paraId="49A6CA42" w14:textId="77777777" w:rsidR="000C680C" w:rsidRPr="001D66A8" w:rsidRDefault="000C680C" w:rsidP="00341DAF">
            <w:pPr>
              <w:pStyle w:val="ListParagraph"/>
              <w:numPr>
                <w:ilvl w:val="0"/>
                <w:numId w:val="3"/>
              </w:numPr>
              <w:spacing w:after="0"/>
            </w:pPr>
            <w:r w:rsidRPr="00D30957">
              <w:t>In aggregate</w:t>
            </w:r>
            <w:r>
              <w:t>,</w:t>
            </w:r>
            <w:r w:rsidRPr="00D30957">
              <w:t xml:space="preserve"> by </w:t>
            </w:r>
            <w:r>
              <w:t>target population</w:t>
            </w:r>
            <w:r w:rsidRPr="00D30957">
              <w:t xml:space="preserve">, determine </w:t>
            </w:r>
            <w:r>
              <w:t>whether there was a</w:t>
            </w:r>
            <w:r w:rsidRPr="00D30957">
              <w:t xml:space="preserve"> change in </w:t>
            </w:r>
            <w:r>
              <w:t>p</w:t>
            </w:r>
            <w:r w:rsidRPr="001D66A8">
              <w:t xml:space="preserve">hysical </w:t>
            </w:r>
            <w:r>
              <w:t xml:space="preserve">health services delivered, </w:t>
            </w:r>
            <w:r w:rsidRPr="001D66A8">
              <w:t>behavioral health services delivered</w:t>
            </w:r>
            <w:r>
              <w:t>, and/or health outcomes during</w:t>
            </w:r>
            <w:r w:rsidRPr="00D30957">
              <w:t xml:space="preserve"> the post-release period</w:t>
            </w:r>
            <w:r>
              <w:t>.</w:t>
            </w:r>
          </w:p>
          <w:p w14:paraId="1EAA2344" w14:textId="77777777" w:rsidR="000C680C" w:rsidRPr="001D66A8" w:rsidRDefault="000C680C" w:rsidP="00341DAF">
            <w:pPr>
              <w:pStyle w:val="ListParagraph"/>
              <w:numPr>
                <w:ilvl w:val="0"/>
                <w:numId w:val="3"/>
              </w:numPr>
              <w:spacing w:after="0"/>
            </w:pPr>
            <w:r w:rsidRPr="001D66A8">
              <w:t>In aggregate, by target population, determine whether there was a change in the number of individuals who received MAT and/or RRSS, as well as overall health outcomes, during the post-release period.</w:t>
            </w:r>
            <w:r w:rsidRPr="00D30957">
              <w:t xml:space="preserve"> </w:t>
            </w:r>
          </w:p>
        </w:tc>
        <w:tc>
          <w:tcPr>
            <w:tcW w:w="4500" w:type="dxa"/>
          </w:tcPr>
          <w:p w14:paraId="0017A0A7" w14:textId="77777777" w:rsidR="000C680C" w:rsidRPr="00D30957" w:rsidRDefault="000C680C" w:rsidP="00341DAF">
            <w:pPr>
              <w:pStyle w:val="ListParagraph"/>
              <w:numPr>
                <w:ilvl w:val="0"/>
                <w:numId w:val="2"/>
              </w:numPr>
              <w:spacing w:after="0"/>
            </w:pPr>
            <w:r w:rsidRPr="00D30957">
              <w:t>Correctional records</w:t>
            </w:r>
            <w:r w:rsidR="00C103C9">
              <w:t>.</w:t>
            </w:r>
          </w:p>
          <w:p w14:paraId="257ADBF2" w14:textId="77777777" w:rsidR="000C680C" w:rsidRPr="00D30957" w:rsidRDefault="000C680C" w:rsidP="00341DAF">
            <w:pPr>
              <w:pStyle w:val="ListParagraph"/>
              <w:numPr>
                <w:ilvl w:val="0"/>
                <w:numId w:val="2"/>
              </w:numPr>
              <w:spacing w:after="0"/>
            </w:pPr>
            <w:r w:rsidRPr="00D30957">
              <w:t xml:space="preserve">Medicaid </w:t>
            </w:r>
            <w:r>
              <w:t>c</w:t>
            </w:r>
            <w:r w:rsidRPr="00D30957">
              <w:t>laims data</w:t>
            </w:r>
            <w:r w:rsidR="00C103C9">
              <w:t>.</w:t>
            </w:r>
          </w:p>
          <w:p w14:paraId="75548C02" w14:textId="77777777" w:rsidR="000C680C" w:rsidRPr="00D30957" w:rsidRDefault="000C680C" w:rsidP="00341DAF">
            <w:pPr>
              <w:pStyle w:val="ListParagraph"/>
              <w:numPr>
                <w:ilvl w:val="0"/>
                <w:numId w:val="2"/>
              </w:numPr>
              <w:spacing w:after="0"/>
            </w:pPr>
            <w:r w:rsidRPr="00D30957">
              <w:t>MCO data</w:t>
            </w:r>
            <w:r w:rsidR="00C103C9">
              <w:t>.</w:t>
            </w:r>
          </w:p>
          <w:p w14:paraId="478C1FF0" w14:textId="77777777" w:rsidR="000C680C" w:rsidRPr="00D30957" w:rsidRDefault="000C680C" w:rsidP="00341DAF">
            <w:pPr>
              <w:pStyle w:val="ListParagraph"/>
              <w:numPr>
                <w:ilvl w:val="0"/>
                <w:numId w:val="2"/>
              </w:numPr>
              <w:spacing w:after="0"/>
            </w:pPr>
            <w:r>
              <w:t xml:space="preserve">Health data (where </w:t>
            </w:r>
            <w:r w:rsidRPr="00D30957">
              <w:t>available</w:t>
            </w:r>
            <w:r>
              <w:t>)</w:t>
            </w:r>
            <w:r w:rsidR="00C103C9">
              <w:t>.</w:t>
            </w:r>
          </w:p>
          <w:p w14:paraId="65B213BA" w14:textId="77777777" w:rsidR="000C680C" w:rsidRPr="00D30957" w:rsidRDefault="000C680C" w:rsidP="00341DAF">
            <w:pPr>
              <w:pStyle w:val="ListParagraph"/>
              <w:numPr>
                <w:ilvl w:val="0"/>
                <w:numId w:val="2"/>
              </w:numPr>
              <w:spacing w:after="0"/>
            </w:pPr>
            <w:r>
              <w:t>HRA</w:t>
            </w:r>
            <w:r w:rsidRPr="00D30957">
              <w:t xml:space="preserve"> data</w:t>
            </w:r>
            <w:r w:rsidR="00C103C9">
              <w:t>.</w:t>
            </w:r>
          </w:p>
          <w:p w14:paraId="7BABA2BB" w14:textId="77777777" w:rsidR="000C680C" w:rsidRPr="00905C4B" w:rsidRDefault="000C680C" w:rsidP="000D43B0">
            <w:pPr>
              <w:pStyle w:val="ListParagraph"/>
              <w:numPr>
                <w:ilvl w:val="0"/>
                <w:numId w:val="2"/>
              </w:numPr>
              <w:spacing w:after="0"/>
            </w:pPr>
            <w:r>
              <w:t>S</w:t>
            </w:r>
            <w:r w:rsidRPr="002F1818">
              <w:t>urvey</w:t>
            </w:r>
            <w:r w:rsidRPr="00D30957">
              <w:t>s</w:t>
            </w:r>
            <w:r w:rsidRPr="002F1818">
              <w:t xml:space="preserve"> </w:t>
            </w:r>
            <w:r>
              <w:t xml:space="preserve">of </w:t>
            </w:r>
            <w:r w:rsidRPr="003F438E">
              <w:t xml:space="preserve">MCO </w:t>
            </w:r>
            <w:r w:rsidR="00C103C9">
              <w:t>c</w:t>
            </w:r>
            <w:r w:rsidRPr="003F438E">
              <w:t xml:space="preserve">ase </w:t>
            </w:r>
            <w:r w:rsidR="00C103C9">
              <w:t>m</w:t>
            </w:r>
            <w:r w:rsidRPr="003F438E">
              <w:t>anager</w:t>
            </w:r>
            <w:r>
              <w:t>s</w:t>
            </w:r>
            <w:r w:rsidRPr="002F1818">
              <w:t xml:space="preserve"> </w:t>
            </w:r>
            <w:r>
              <w:t xml:space="preserve">and justice-involved individuals </w:t>
            </w:r>
            <w:r w:rsidRPr="003F438E">
              <w:t>at release and prior to end of post-release period</w:t>
            </w:r>
            <w:r w:rsidR="00C103C9">
              <w:t>.</w:t>
            </w:r>
          </w:p>
        </w:tc>
      </w:tr>
    </w:tbl>
    <w:p w14:paraId="3AE0D700" w14:textId="77777777" w:rsidR="00341DAF" w:rsidRPr="00341DAF" w:rsidRDefault="00341DAF" w:rsidP="00341DAF">
      <w:pPr>
        <w:spacing w:after="0"/>
        <w:rPr>
          <w:b/>
          <w:color w:val="093B60"/>
        </w:rPr>
      </w:pPr>
    </w:p>
    <w:p w14:paraId="5EA4FBCF" w14:textId="77777777" w:rsidR="00341DAF" w:rsidRPr="00D20454" w:rsidRDefault="00341DAF" w:rsidP="00923CA6">
      <w:pPr>
        <w:pStyle w:val="Heading4"/>
        <w:rPr>
          <w:color w:val="093865"/>
        </w:rPr>
      </w:pPr>
      <w:r w:rsidRPr="00D20454">
        <w:rPr>
          <w:color w:val="093865"/>
        </w:rPr>
        <w:t>Goal 2</w:t>
      </w:r>
    </w:p>
    <w:p w14:paraId="7A5D18C0" w14:textId="77777777" w:rsidR="00341DAF" w:rsidRPr="00D20454" w:rsidRDefault="00341DAF" w:rsidP="00923CA6">
      <w:pPr>
        <w:spacing w:after="120"/>
        <w:rPr>
          <w:b/>
          <w:color w:val="093865"/>
        </w:rPr>
      </w:pPr>
      <w:r w:rsidRPr="00D20454">
        <w:rPr>
          <w:b/>
          <w:color w:val="093865"/>
        </w:rPr>
        <w:t>Improve coordination, communication, and connections between correctional systems, Medicaid systems and processes, managed care plans, and community-based service providers delivering enhanced services to maximize successful reentry post-release.</w:t>
      </w:r>
    </w:p>
    <w:tbl>
      <w:tblPr>
        <w:tblStyle w:val="TableGrid"/>
        <w:tblW w:w="132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e 1, Goal 2"/>
        <w:tblDescription w:val="Hypothesis 2: By building connections and infrastructure for justice-involved members to access providers and community-based care, members will have the tools and services necessary to stabilize their condition(s) leading to successful reentry post-release. Potential Measurement(s): In aggregate, by target population, determine whether there was change in recidivism, completed care plans, eligibility screening, enrollments, and/or medication adherence during the post-release period. Data Source(s): Correctional records, Medicaid claims data, MCO data, health data (where available), and surveys of MCO case managers and justice-involved individuals at release and prior to end of post-release period.&#10;"/>
      </w:tblPr>
      <w:tblGrid>
        <w:gridCol w:w="3325"/>
        <w:gridCol w:w="5400"/>
        <w:gridCol w:w="4500"/>
      </w:tblGrid>
      <w:tr w:rsidR="000C680C" w:rsidRPr="00D30957" w14:paraId="4F518285" w14:textId="77777777" w:rsidTr="00746864">
        <w:trPr>
          <w:trHeight w:val="20"/>
          <w:tblHeader/>
        </w:trPr>
        <w:tc>
          <w:tcPr>
            <w:tcW w:w="3325" w:type="dxa"/>
            <w:shd w:val="clear" w:color="auto" w:fill="093865"/>
          </w:tcPr>
          <w:p w14:paraId="608B74CF" w14:textId="77777777" w:rsidR="000C680C" w:rsidRPr="00746864" w:rsidRDefault="000C680C" w:rsidP="00341DAF">
            <w:pPr>
              <w:spacing w:after="0"/>
              <w:jc w:val="center"/>
              <w:rPr>
                <w:b/>
                <w:color w:val="FFFFFF" w:themeColor="background1"/>
              </w:rPr>
            </w:pPr>
            <w:r w:rsidRPr="00746864">
              <w:rPr>
                <w:b/>
                <w:color w:val="FFFFFF" w:themeColor="background1"/>
              </w:rPr>
              <w:t>Hypothesis 2</w:t>
            </w:r>
          </w:p>
        </w:tc>
        <w:tc>
          <w:tcPr>
            <w:tcW w:w="5400" w:type="dxa"/>
            <w:shd w:val="clear" w:color="auto" w:fill="093865"/>
          </w:tcPr>
          <w:p w14:paraId="610D1B2A" w14:textId="77777777" w:rsidR="000C680C" w:rsidRPr="00746864" w:rsidRDefault="000C680C" w:rsidP="00341DAF">
            <w:pPr>
              <w:spacing w:after="0"/>
              <w:jc w:val="center"/>
              <w:rPr>
                <w:b/>
                <w:color w:val="FFFFFF" w:themeColor="background1"/>
              </w:rPr>
            </w:pPr>
            <w:r w:rsidRPr="00746864">
              <w:rPr>
                <w:b/>
                <w:color w:val="FFFFFF" w:themeColor="background1"/>
              </w:rPr>
              <w:t>Potential Measurement(s)</w:t>
            </w:r>
          </w:p>
        </w:tc>
        <w:tc>
          <w:tcPr>
            <w:tcW w:w="4500" w:type="dxa"/>
            <w:shd w:val="clear" w:color="auto" w:fill="093865"/>
          </w:tcPr>
          <w:p w14:paraId="4ED7FEA9" w14:textId="77777777" w:rsidR="000C680C" w:rsidRPr="00746864" w:rsidRDefault="000C680C" w:rsidP="00341DAF">
            <w:pPr>
              <w:spacing w:after="0"/>
              <w:jc w:val="center"/>
              <w:rPr>
                <w:b/>
                <w:color w:val="FFFFFF" w:themeColor="background1"/>
              </w:rPr>
            </w:pPr>
            <w:r w:rsidRPr="00746864">
              <w:rPr>
                <w:b/>
                <w:color w:val="FFFFFF" w:themeColor="background1"/>
              </w:rPr>
              <w:t>Data Source(s)</w:t>
            </w:r>
          </w:p>
        </w:tc>
      </w:tr>
      <w:tr w:rsidR="000C680C" w:rsidRPr="00D30957" w14:paraId="1BAB0154" w14:textId="77777777" w:rsidTr="00923CA6">
        <w:trPr>
          <w:trHeight w:val="2402"/>
        </w:trPr>
        <w:tc>
          <w:tcPr>
            <w:tcW w:w="3325" w:type="dxa"/>
          </w:tcPr>
          <w:p w14:paraId="0508FC17" w14:textId="77777777" w:rsidR="000C680C" w:rsidRPr="00D30957" w:rsidRDefault="000C680C" w:rsidP="00341DAF">
            <w:pPr>
              <w:spacing w:after="0"/>
            </w:pPr>
            <w:r w:rsidRPr="00D30957">
              <w:t>By building connections and infrastructure for justice-involved members to access providers and community-based care, members will have the tools and services necessary to stabilize their condition(s) leading to successful reentry post-release.</w:t>
            </w:r>
          </w:p>
        </w:tc>
        <w:tc>
          <w:tcPr>
            <w:tcW w:w="5400" w:type="dxa"/>
          </w:tcPr>
          <w:p w14:paraId="44BBB4AE" w14:textId="77777777" w:rsidR="000C680C" w:rsidRPr="001D66A8" w:rsidRDefault="000C680C" w:rsidP="00341DAF">
            <w:pPr>
              <w:pStyle w:val="ListParagraph"/>
              <w:numPr>
                <w:ilvl w:val="0"/>
                <w:numId w:val="3"/>
              </w:numPr>
              <w:spacing w:after="0"/>
            </w:pPr>
            <w:r w:rsidRPr="001D66A8">
              <w:t xml:space="preserve">In aggregate, </w:t>
            </w:r>
            <w:r>
              <w:t xml:space="preserve">by </w:t>
            </w:r>
            <w:r w:rsidRPr="001D66A8">
              <w:t xml:space="preserve">target population, determine </w:t>
            </w:r>
            <w:r>
              <w:t>whether there was</w:t>
            </w:r>
            <w:r w:rsidRPr="001D66A8">
              <w:t xml:space="preserve"> change in </w:t>
            </w:r>
            <w:r>
              <w:t xml:space="preserve">recidivism, </w:t>
            </w:r>
            <w:r w:rsidRPr="001D66A8">
              <w:t>c</w:t>
            </w:r>
            <w:r>
              <w:t xml:space="preserve">ompleted care plans, </w:t>
            </w:r>
            <w:r w:rsidRPr="001D66A8">
              <w:t>eligibility screening, enrollments</w:t>
            </w:r>
            <w:r>
              <w:t>,</w:t>
            </w:r>
            <w:r w:rsidRPr="001D66A8">
              <w:t xml:space="preserve"> and</w:t>
            </w:r>
            <w:r>
              <w:t>/or</w:t>
            </w:r>
            <w:r w:rsidRPr="001D66A8">
              <w:t xml:space="preserve"> </w:t>
            </w:r>
            <w:r>
              <w:t>m</w:t>
            </w:r>
            <w:r w:rsidRPr="001D66A8">
              <w:t>edication adherence</w:t>
            </w:r>
            <w:r>
              <w:t xml:space="preserve"> during the post-release period.</w:t>
            </w:r>
          </w:p>
          <w:p w14:paraId="700F4522" w14:textId="77777777" w:rsidR="000C680C" w:rsidRPr="001D66A8" w:rsidRDefault="000C680C" w:rsidP="00341DAF">
            <w:pPr>
              <w:spacing w:after="0"/>
            </w:pPr>
          </w:p>
        </w:tc>
        <w:tc>
          <w:tcPr>
            <w:tcW w:w="4500" w:type="dxa"/>
          </w:tcPr>
          <w:p w14:paraId="14DC25F6" w14:textId="77777777" w:rsidR="000C680C" w:rsidRPr="00D30957" w:rsidRDefault="000C680C" w:rsidP="00341DAF">
            <w:pPr>
              <w:pStyle w:val="ListParagraph"/>
              <w:numPr>
                <w:ilvl w:val="0"/>
                <w:numId w:val="2"/>
              </w:numPr>
              <w:spacing w:after="0"/>
            </w:pPr>
            <w:r w:rsidRPr="00D30957">
              <w:t>Correctional records</w:t>
            </w:r>
            <w:r w:rsidR="00494EB8">
              <w:t>.</w:t>
            </w:r>
          </w:p>
          <w:p w14:paraId="5CA9048A" w14:textId="77777777" w:rsidR="000C680C" w:rsidRPr="00D30957" w:rsidRDefault="000C680C" w:rsidP="00341DAF">
            <w:pPr>
              <w:pStyle w:val="ListParagraph"/>
              <w:numPr>
                <w:ilvl w:val="0"/>
                <w:numId w:val="2"/>
              </w:numPr>
              <w:spacing w:after="0"/>
            </w:pPr>
            <w:r w:rsidRPr="00D30957">
              <w:t xml:space="preserve">Medicaid </w:t>
            </w:r>
            <w:r>
              <w:t>c</w:t>
            </w:r>
            <w:r w:rsidRPr="00D30957">
              <w:t>laims data</w:t>
            </w:r>
            <w:r w:rsidR="00494EB8">
              <w:t>.</w:t>
            </w:r>
          </w:p>
          <w:p w14:paraId="5B20087C" w14:textId="77777777" w:rsidR="000C680C" w:rsidRPr="00D30957" w:rsidRDefault="000C680C" w:rsidP="00341DAF">
            <w:pPr>
              <w:pStyle w:val="ListParagraph"/>
              <w:numPr>
                <w:ilvl w:val="0"/>
                <w:numId w:val="2"/>
              </w:numPr>
              <w:spacing w:after="0"/>
            </w:pPr>
            <w:r w:rsidRPr="00D30957">
              <w:t>MCO data</w:t>
            </w:r>
            <w:r w:rsidR="00494EB8">
              <w:t>.</w:t>
            </w:r>
          </w:p>
          <w:p w14:paraId="76F25B87" w14:textId="77777777" w:rsidR="000C680C" w:rsidRPr="00D30957" w:rsidRDefault="000C680C" w:rsidP="00341DAF">
            <w:pPr>
              <w:pStyle w:val="ListParagraph"/>
              <w:numPr>
                <w:ilvl w:val="0"/>
                <w:numId w:val="2"/>
              </w:numPr>
              <w:spacing w:after="0"/>
            </w:pPr>
            <w:r w:rsidRPr="00D30957">
              <w:t>Health data</w:t>
            </w:r>
            <w:r>
              <w:t xml:space="preserve"> (where available)</w:t>
            </w:r>
            <w:r w:rsidR="00494EB8">
              <w:t>.</w:t>
            </w:r>
          </w:p>
          <w:p w14:paraId="4AAE4C1E" w14:textId="77777777" w:rsidR="000C680C" w:rsidRPr="005A3250" w:rsidRDefault="000C680C" w:rsidP="000D43B0">
            <w:pPr>
              <w:pStyle w:val="ListParagraph"/>
              <w:numPr>
                <w:ilvl w:val="0"/>
                <w:numId w:val="2"/>
              </w:numPr>
              <w:spacing w:after="0"/>
            </w:pPr>
            <w:r w:rsidRPr="003206E8">
              <w:t xml:space="preserve">Surveys of MCO </w:t>
            </w:r>
            <w:r w:rsidR="00494EB8">
              <w:t>c</w:t>
            </w:r>
            <w:r w:rsidRPr="003206E8">
              <w:t xml:space="preserve">ase </w:t>
            </w:r>
            <w:r w:rsidR="00494EB8">
              <w:t>m</w:t>
            </w:r>
            <w:r w:rsidRPr="003206E8">
              <w:t>anagers and justice-involved individuals at release and prior to end of post-release period</w:t>
            </w:r>
            <w:r w:rsidR="00494EB8">
              <w:t>.</w:t>
            </w:r>
          </w:p>
        </w:tc>
      </w:tr>
    </w:tbl>
    <w:p w14:paraId="0A5EB29C" w14:textId="77777777" w:rsidR="00923CA6" w:rsidRPr="00923CA6" w:rsidRDefault="00923CA6" w:rsidP="00923CA6">
      <w:pPr>
        <w:spacing w:after="0"/>
        <w:rPr>
          <w:b/>
          <w:color w:val="093B60"/>
        </w:rPr>
      </w:pPr>
    </w:p>
    <w:p w14:paraId="6DF6BBE6" w14:textId="77777777" w:rsidR="00923CA6" w:rsidRPr="00D20454" w:rsidRDefault="00923CA6" w:rsidP="00923CA6">
      <w:pPr>
        <w:pStyle w:val="Heading4"/>
        <w:rPr>
          <w:color w:val="093865"/>
        </w:rPr>
      </w:pPr>
      <w:r w:rsidRPr="00D20454">
        <w:rPr>
          <w:color w:val="093865"/>
        </w:rPr>
        <w:t>Goal 3</w:t>
      </w:r>
    </w:p>
    <w:p w14:paraId="2D934D5C" w14:textId="77777777" w:rsidR="00923CA6" w:rsidRPr="00D20454" w:rsidRDefault="00923CA6" w:rsidP="00923CA6">
      <w:pPr>
        <w:spacing w:after="120"/>
        <w:rPr>
          <w:b/>
          <w:color w:val="093865"/>
        </w:rPr>
      </w:pPr>
      <w:r w:rsidRPr="00D20454">
        <w:rPr>
          <w:b/>
          <w:color w:val="093865"/>
        </w:rPr>
        <w:t>Reduce the number of avoidable emergency department visits and inpatient hospitalizations and reduce all cause deaths.</w:t>
      </w:r>
    </w:p>
    <w:tbl>
      <w:tblPr>
        <w:tblStyle w:val="TableGrid"/>
        <w:tblW w:w="132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e 1, Goal 3"/>
        <w:tblDescription w:val="Hypothesis 3: Coverage and support services provided through the waiver will improve identification and treatment of certain chronic and other serious conditions and reduce acute care utilization in the period soon after release. Potential Measurement(s): In aggregate, by target population, determine whether there was a change in preventive care service utilization during the post-release period. In aggregate, by target population, determine whether there was a change in unnecessary utilization of inpatient hospitals, psychiatric hospitals, nursing homes, and/or emergency departments that would otherwise have been paid for by Medicaid during the post-release period. Data Source(s): Correctional data, Medicaid claims data, MCO data, and cost data.&#10;"/>
      </w:tblPr>
      <w:tblGrid>
        <w:gridCol w:w="3325"/>
        <w:gridCol w:w="5400"/>
        <w:gridCol w:w="4500"/>
      </w:tblGrid>
      <w:tr w:rsidR="000C680C" w:rsidRPr="00D30957" w14:paraId="46460EFE" w14:textId="77777777" w:rsidTr="00746864">
        <w:trPr>
          <w:trHeight w:val="20"/>
          <w:tblHeader/>
        </w:trPr>
        <w:tc>
          <w:tcPr>
            <w:tcW w:w="3325" w:type="dxa"/>
            <w:shd w:val="clear" w:color="auto" w:fill="093865"/>
          </w:tcPr>
          <w:p w14:paraId="070B7DFE" w14:textId="77777777" w:rsidR="000C680C" w:rsidRPr="00746864" w:rsidRDefault="000C680C" w:rsidP="00341DAF">
            <w:pPr>
              <w:spacing w:after="0"/>
              <w:jc w:val="center"/>
              <w:rPr>
                <w:b/>
                <w:color w:val="FFFFFF" w:themeColor="background1"/>
              </w:rPr>
            </w:pPr>
            <w:r w:rsidRPr="00746864">
              <w:rPr>
                <w:b/>
                <w:color w:val="FFFFFF" w:themeColor="background1"/>
              </w:rPr>
              <w:t>Hypothesis 3</w:t>
            </w:r>
          </w:p>
        </w:tc>
        <w:tc>
          <w:tcPr>
            <w:tcW w:w="5400" w:type="dxa"/>
            <w:shd w:val="clear" w:color="auto" w:fill="093865"/>
          </w:tcPr>
          <w:p w14:paraId="5EED3C42" w14:textId="77777777" w:rsidR="000C680C" w:rsidRPr="00746864" w:rsidRDefault="000C680C" w:rsidP="00341DAF">
            <w:pPr>
              <w:spacing w:after="0"/>
              <w:jc w:val="center"/>
              <w:rPr>
                <w:b/>
                <w:color w:val="FFFFFF" w:themeColor="background1"/>
              </w:rPr>
            </w:pPr>
            <w:r w:rsidRPr="00746864">
              <w:rPr>
                <w:b/>
                <w:color w:val="FFFFFF" w:themeColor="background1"/>
              </w:rPr>
              <w:t>Potential Measurement(s)</w:t>
            </w:r>
          </w:p>
        </w:tc>
        <w:tc>
          <w:tcPr>
            <w:tcW w:w="4500" w:type="dxa"/>
            <w:shd w:val="clear" w:color="auto" w:fill="093865"/>
          </w:tcPr>
          <w:p w14:paraId="4E2D98A7" w14:textId="77777777" w:rsidR="000C680C" w:rsidRPr="00746864" w:rsidRDefault="000C680C" w:rsidP="00341DAF">
            <w:pPr>
              <w:spacing w:after="0"/>
              <w:jc w:val="center"/>
              <w:rPr>
                <w:b/>
                <w:color w:val="FFFFFF" w:themeColor="background1"/>
              </w:rPr>
            </w:pPr>
            <w:r w:rsidRPr="00746864">
              <w:rPr>
                <w:b/>
                <w:color w:val="FFFFFF" w:themeColor="background1"/>
              </w:rPr>
              <w:t>Data Source(s)</w:t>
            </w:r>
          </w:p>
        </w:tc>
      </w:tr>
      <w:tr w:rsidR="000C680C" w:rsidRPr="00D30957" w14:paraId="373D5BFB" w14:textId="77777777" w:rsidTr="00923CA6">
        <w:trPr>
          <w:trHeight w:val="2537"/>
        </w:trPr>
        <w:tc>
          <w:tcPr>
            <w:tcW w:w="3325" w:type="dxa"/>
          </w:tcPr>
          <w:p w14:paraId="08B9F554" w14:textId="77777777" w:rsidR="000C680C" w:rsidRPr="00D30957" w:rsidRDefault="000C680C" w:rsidP="00341DAF">
            <w:pPr>
              <w:spacing w:after="0"/>
            </w:pPr>
            <w:r>
              <w:t>C</w:t>
            </w:r>
            <w:r w:rsidRPr="00D30957">
              <w:t xml:space="preserve">overage and support services </w:t>
            </w:r>
            <w:r>
              <w:t xml:space="preserve">provided through the waiver will </w:t>
            </w:r>
            <w:r w:rsidRPr="00D30957">
              <w:t xml:space="preserve">improve identification and treatment of certain chronic and other serious conditions </w:t>
            </w:r>
            <w:r>
              <w:t>and</w:t>
            </w:r>
            <w:r w:rsidRPr="00D30957">
              <w:t xml:space="preserve"> reduce acute care utilization in the period soon after release.</w:t>
            </w:r>
          </w:p>
        </w:tc>
        <w:tc>
          <w:tcPr>
            <w:tcW w:w="5400" w:type="dxa"/>
          </w:tcPr>
          <w:p w14:paraId="61053CD4" w14:textId="77777777" w:rsidR="000C680C" w:rsidRPr="00D30957" w:rsidRDefault="000C680C" w:rsidP="00341DAF">
            <w:pPr>
              <w:pStyle w:val="ListParagraph"/>
              <w:numPr>
                <w:ilvl w:val="0"/>
                <w:numId w:val="3"/>
              </w:numPr>
              <w:spacing w:after="0"/>
            </w:pPr>
            <w:r w:rsidRPr="00D30957">
              <w:t xml:space="preserve">In aggregate, </w:t>
            </w:r>
            <w:r>
              <w:t xml:space="preserve">by target population, </w:t>
            </w:r>
            <w:r w:rsidRPr="00D30957">
              <w:t xml:space="preserve">determine whether there was a change in preventive care </w:t>
            </w:r>
            <w:r>
              <w:t xml:space="preserve">service </w:t>
            </w:r>
            <w:r w:rsidRPr="00D30957">
              <w:t>utilization during the post-release period.</w:t>
            </w:r>
          </w:p>
          <w:p w14:paraId="20FB7C64" w14:textId="77777777" w:rsidR="000C680C" w:rsidRPr="001D66A8" w:rsidRDefault="000C680C" w:rsidP="00341DAF">
            <w:pPr>
              <w:pStyle w:val="ListParagraph"/>
              <w:numPr>
                <w:ilvl w:val="0"/>
                <w:numId w:val="3"/>
              </w:numPr>
              <w:spacing w:after="0"/>
            </w:pPr>
            <w:r w:rsidRPr="00D30957">
              <w:t xml:space="preserve">In aggregate, </w:t>
            </w:r>
            <w:r>
              <w:t xml:space="preserve">by target population, </w:t>
            </w:r>
            <w:r w:rsidRPr="00D30957">
              <w:t xml:space="preserve">determine whether there was a change in unnecessary </w:t>
            </w:r>
            <w:r>
              <w:t xml:space="preserve">utilization </w:t>
            </w:r>
            <w:r w:rsidRPr="00D30957">
              <w:t xml:space="preserve">of inpatient hospitals, psychiatric hospitals, nursing homes, </w:t>
            </w:r>
            <w:r>
              <w:t>and/or emergency departments</w:t>
            </w:r>
            <w:r w:rsidRPr="00D30957">
              <w:t xml:space="preserve"> that</w:t>
            </w:r>
            <w:r>
              <w:t xml:space="preserve"> would </w:t>
            </w:r>
            <w:r w:rsidRPr="00D30957">
              <w:t xml:space="preserve">otherwise </w:t>
            </w:r>
            <w:r>
              <w:t>have been</w:t>
            </w:r>
            <w:r w:rsidRPr="00D30957">
              <w:t xml:space="preserve"> paid for by Medicaid</w:t>
            </w:r>
            <w:r>
              <w:t xml:space="preserve"> during the post-release period</w:t>
            </w:r>
            <w:r w:rsidRPr="00D30957">
              <w:t>.</w:t>
            </w:r>
          </w:p>
        </w:tc>
        <w:tc>
          <w:tcPr>
            <w:tcW w:w="4500" w:type="dxa"/>
          </w:tcPr>
          <w:p w14:paraId="6ADFC6F7" w14:textId="77777777" w:rsidR="000C680C" w:rsidRPr="00D30957" w:rsidRDefault="000C680C" w:rsidP="00341DAF">
            <w:pPr>
              <w:pStyle w:val="ListParagraph"/>
              <w:numPr>
                <w:ilvl w:val="0"/>
                <w:numId w:val="2"/>
              </w:numPr>
              <w:spacing w:after="0"/>
            </w:pPr>
            <w:r w:rsidRPr="00D30957">
              <w:t>Correctional data</w:t>
            </w:r>
            <w:r w:rsidR="00196F7A">
              <w:t>.</w:t>
            </w:r>
          </w:p>
          <w:p w14:paraId="25E0EC3D" w14:textId="77777777" w:rsidR="000C680C" w:rsidRPr="00D30957" w:rsidRDefault="000C680C" w:rsidP="00341DAF">
            <w:pPr>
              <w:pStyle w:val="ListParagraph"/>
              <w:numPr>
                <w:ilvl w:val="0"/>
                <w:numId w:val="2"/>
              </w:numPr>
              <w:spacing w:after="0"/>
            </w:pPr>
            <w:r w:rsidRPr="00D30957">
              <w:t>Medicaid claims data</w:t>
            </w:r>
            <w:r w:rsidR="00196F7A">
              <w:t>.</w:t>
            </w:r>
          </w:p>
          <w:p w14:paraId="40D3B966" w14:textId="77777777" w:rsidR="000C680C" w:rsidRPr="00D30957" w:rsidRDefault="000C680C" w:rsidP="00341DAF">
            <w:pPr>
              <w:pStyle w:val="ListParagraph"/>
              <w:numPr>
                <w:ilvl w:val="0"/>
                <w:numId w:val="2"/>
              </w:numPr>
              <w:spacing w:after="0"/>
            </w:pPr>
            <w:r w:rsidRPr="00D30957">
              <w:t>MCO data</w:t>
            </w:r>
            <w:r w:rsidR="00196F7A">
              <w:t>.</w:t>
            </w:r>
          </w:p>
          <w:p w14:paraId="157C64B6" w14:textId="77777777" w:rsidR="000C680C" w:rsidRPr="00D30957" w:rsidRDefault="000C680C" w:rsidP="00341DAF">
            <w:pPr>
              <w:pStyle w:val="ListParagraph"/>
              <w:numPr>
                <w:ilvl w:val="0"/>
                <w:numId w:val="2"/>
              </w:numPr>
              <w:spacing w:after="0"/>
            </w:pPr>
            <w:r w:rsidRPr="00D30957">
              <w:t>Cost data</w:t>
            </w:r>
            <w:r w:rsidR="00196F7A">
              <w:t>.</w:t>
            </w:r>
          </w:p>
          <w:p w14:paraId="603047BF" w14:textId="77777777" w:rsidR="000C680C" w:rsidRPr="002F1818" w:rsidRDefault="000C680C" w:rsidP="00341DAF">
            <w:pPr>
              <w:spacing w:after="0"/>
            </w:pPr>
          </w:p>
        </w:tc>
      </w:tr>
    </w:tbl>
    <w:p w14:paraId="47FE6DBF" w14:textId="77777777" w:rsidR="00923CA6" w:rsidRPr="00923CA6" w:rsidRDefault="00923CA6" w:rsidP="00923CA6">
      <w:pPr>
        <w:spacing w:after="0"/>
        <w:rPr>
          <w:b/>
          <w:color w:val="093B60"/>
        </w:rPr>
      </w:pPr>
    </w:p>
    <w:p w14:paraId="06C50FC2" w14:textId="77777777" w:rsidR="00923CA6" w:rsidRPr="00D20454" w:rsidRDefault="00923CA6" w:rsidP="00D20454">
      <w:pPr>
        <w:pStyle w:val="Heading4"/>
        <w:rPr>
          <w:color w:val="093865"/>
        </w:rPr>
      </w:pPr>
      <w:r w:rsidRPr="00D20454">
        <w:rPr>
          <w:color w:val="093865"/>
        </w:rPr>
        <w:t>Goal 4</w:t>
      </w:r>
    </w:p>
    <w:p w14:paraId="50FA3102" w14:textId="77777777" w:rsidR="00923CA6" w:rsidRPr="00D20454" w:rsidRDefault="00923CA6" w:rsidP="00923CA6">
      <w:pPr>
        <w:spacing w:after="120"/>
        <w:rPr>
          <w:b/>
          <w:color w:val="093865"/>
        </w:rPr>
      </w:pPr>
      <w:r w:rsidRPr="00D20454">
        <w:rPr>
          <w:b/>
          <w:color w:val="093865"/>
        </w:rPr>
        <w:t>Increase additional investments in health care and related services to improve quality of care for Medicaid beneficiaries in carceral settings and post-release reentry community services.</w:t>
      </w:r>
    </w:p>
    <w:tbl>
      <w:tblPr>
        <w:tblStyle w:val="TableGrid"/>
        <w:tblW w:w="132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e 1, Goal 4"/>
        <w:tblDescription w:val="Hypothesis 4: Reentry program allows for infrastructure enhancements to overcome barriers impeding information exchange between correctional and community-based physical and behavioral health services. Potential Measurement(s): In aggregate, by target population, determine whether there was a change in the frequency, volume, and types of information exchanged between correctional facilities and community-based organizations during the post-release period. Data Source(s): Correctional data, MCO data, survey relevant correctional and community-based service organizations, electronic health record (EHR) audit log data, and Kentucky Health Information Exchange (KHIE) audit log data."/>
      </w:tblPr>
      <w:tblGrid>
        <w:gridCol w:w="3325"/>
        <w:gridCol w:w="5400"/>
        <w:gridCol w:w="4500"/>
      </w:tblGrid>
      <w:tr w:rsidR="000C680C" w:rsidRPr="00D30957" w14:paraId="236DCCCA" w14:textId="77777777" w:rsidTr="00746864">
        <w:trPr>
          <w:trHeight w:val="20"/>
          <w:tblHeader/>
        </w:trPr>
        <w:tc>
          <w:tcPr>
            <w:tcW w:w="3325" w:type="dxa"/>
            <w:shd w:val="clear" w:color="auto" w:fill="093865"/>
          </w:tcPr>
          <w:p w14:paraId="29370806" w14:textId="77777777" w:rsidR="000C680C" w:rsidRPr="00746864" w:rsidRDefault="000C680C" w:rsidP="00341DAF">
            <w:pPr>
              <w:spacing w:after="0"/>
              <w:jc w:val="center"/>
              <w:rPr>
                <w:b/>
                <w:color w:val="FFFFFF" w:themeColor="background1"/>
              </w:rPr>
            </w:pPr>
            <w:r w:rsidRPr="00746864">
              <w:rPr>
                <w:b/>
                <w:color w:val="FFFFFF" w:themeColor="background1"/>
              </w:rPr>
              <w:t>Hypothesis 4</w:t>
            </w:r>
          </w:p>
        </w:tc>
        <w:tc>
          <w:tcPr>
            <w:tcW w:w="5400" w:type="dxa"/>
            <w:shd w:val="clear" w:color="auto" w:fill="093865"/>
          </w:tcPr>
          <w:p w14:paraId="3F3B900B" w14:textId="77777777" w:rsidR="000C680C" w:rsidRPr="00746864" w:rsidRDefault="000C680C" w:rsidP="00341DAF">
            <w:pPr>
              <w:spacing w:after="0"/>
              <w:jc w:val="center"/>
              <w:rPr>
                <w:b/>
                <w:color w:val="FFFFFF" w:themeColor="background1"/>
              </w:rPr>
            </w:pPr>
            <w:r w:rsidRPr="00746864">
              <w:rPr>
                <w:b/>
                <w:color w:val="FFFFFF" w:themeColor="background1"/>
              </w:rPr>
              <w:t>Potential Measurement(s)</w:t>
            </w:r>
          </w:p>
        </w:tc>
        <w:tc>
          <w:tcPr>
            <w:tcW w:w="4500" w:type="dxa"/>
            <w:shd w:val="clear" w:color="auto" w:fill="093865"/>
          </w:tcPr>
          <w:p w14:paraId="6B11C2DF" w14:textId="77777777" w:rsidR="000C680C" w:rsidRPr="00746864" w:rsidRDefault="000C680C" w:rsidP="00341DAF">
            <w:pPr>
              <w:spacing w:after="0"/>
              <w:jc w:val="center"/>
              <w:rPr>
                <w:b/>
                <w:color w:val="FFFFFF" w:themeColor="background1"/>
              </w:rPr>
            </w:pPr>
            <w:r w:rsidRPr="00746864">
              <w:rPr>
                <w:b/>
                <w:color w:val="FFFFFF" w:themeColor="background1"/>
              </w:rPr>
              <w:t>Data Source(s)</w:t>
            </w:r>
          </w:p>
        </w:tc>
      </w:tr>
      <w:tr w:rsidR="000C680C" w:rsidRPr="009E6DD5" w14:paraId="61A01824" w14:textId="77777777" w:rsidTr="00341DAF">
        <w:trPr>
          <w:trHeight w:val="20"/>
        </w:trPr>
        <w:tc>
          <w:tcPr>
            <w:tcW w:w="3325" w:type="dxa"/>
          </w:tcPr>
          <w:p w14:paraId="46562AE3" w14:textId="77777777" w:rsidR="000C680C" w:rsidRPr="00D30957" w:rsidRDefault="000C680C" w:rsidP="00341DAF">
            <w:pPr>
              <w:spacing w:after="0"/>
            </w:pPr>
            <w:r w:rsidRPr="00D30957">
              <w:t>Reentry program allows for infrastructure enhancements to overcome barriers impeding information exchange between correctional and community-based physical and behavioral health services.</w:t>
            </w:r>
          </w:p>
        </w:tc>
        <w:tc>
          <w:tcPr>
            <w:tcW w:w="5400" w:type="dxa"/>
          </w:tcPr>
          <w:p w14:paraId="72B82792" w14:textId="77777777" w:rsidR="000C680C" w:rsidRPr="00D30957" w:rsidRDefault="000C680C" w:rsidP="00341DAF">
            <w:pPr>
              <w:pStyle w:val="ListParagraph"/>
              <w:numPr>
                <w:ilvl w:val="0"/>
                <w:numId w:val="3"/>
              </w:numPr>
              <w:spacing w:after="0"/>
            </w:pPr>
            <w:r w:rsidRPr="00D30957">
              <w:t>I</w:t>
            </w:r>
            <w:r>
              <w:t xml:space="preserve">n aggregate, by target population, </w:t>
            </w:r>
            <w:r w:rsidRPr="00D30957">
              <w:t xml:space="preserve">determine </w:t>
            </w:r>
            <w:r>
              <w:t xml:space="preserve">whether there was a </w:t>
            </w:r>
            <w:r w:rsidRPr="00D30957">
              <w:t xml:space="preserve">change in </w:t>
            </w:r>
            <w:r>
              <w:t xml:space="preserve">the frequency, volume, </w:t>
            </w:r>
            <w:r w:rsidRPr="00D30957">
              <w:t>and type</w:t>
            </w:r>
            <w:r>
              <w:t>s</w:t>
            </w:r>
            <w:r w:rsidRPr="00D30957">
              <w:t xml:space="preserve"> of information exchanged between </w:t>
            </w:r>
            <w:proofErr w:type="gramStart"/>
            <w:r w:rsidRPr="00D30957">
              <w:t>correctional facilities</w:t>
            </w:r>
            <w:proofErr w:type="gramEnd"/>
            <w:r w:rsidR="00196F7A">
              <w:t xml:space="preserve"> and</w:t>
            </w:r>
            <w:r w:rsidRPr="00D30957">
              <w:t xml:space="preserve"> community-based organizations</w:t>
            </w:r>
            <w:r>
              <w:t xml:space="preserve"> during the </w:t>
            </w:r>
            <w:r w:rsidRPr="00D30957">
              <w:t>post-release period.</w:t>
            </w:r>
          </w:p>
          <w:p w14:paraId="1DD2F577" w14:textId="77777777" w:rsidR="000C680C" w:rsidRPr="001D66A8" w:rsidRDefault="000C680C" w:rsidP="00341DAF">
            <w:pPr>
              <w:spacing w:after="0"/>
            </w:pPr>
          </w:p>
        </w:tc>
        <w:tc>
          <w:tcPr>
            <w:tcW w:w="4500" w:type="dxa"/>
          </w:tcPr>
          <w:p w14:paraId="411F9F96" w14:textId="77777777" w:rsidR="000C680C" w:rsidRPr="00D30957" w:rsidRDefault="000C680C" w:rsidP="00341DAF">
            <w:pPr>
              <w:pStyle w:val="ListParagraph"/>
              <w:numPr>
                <w:ilvl w:val="0"/>
                <w:numId w:val="2"/>
              </w:numPr>
              <w:spacing w:after="0"/>
            </w:pPr>
            <w:r w:rsidRPr="00D30957">
              <w:t>Correctional data</w:t>
            </w:r>
            <w:r w:rsidR="00196F7A">
              <w:t>.</w:t>
            </w:r>
          </w:p>
          <w:p w14:paraId="753A10A9" w14:textId="77777777" w:rsidR="000C680C" w:rsidRPr="00D30957" w:rsidRDefault="000C680C" w:rsidP="00341DAF">
            <w:pPr>
              <w:pStyle w:val="ListParagraph"/>
              <w:numPr>
                <w:ilvl w:val="0"/>
                <w:numId w:val="2"/>
              </w:numPr>
              <w:spacing w:after="0"/>
            </w:pPr>
            <w:r w:rsidRPr="00D30957">
              <w:t>MCO data</w:t>
            </w:r>
            <w:r w:rsidR="00196F7A">
              <w:t>.</w:t>
            </w:r>
          </w:p>
          <w:p w14:paraId="4F9E150F" w14:textId="77777777" w:rsidR="000C680C" w:rsidRPr="007E79E1" w:rsidRDefault="000C680C" w:rsidP="00341DAF">
            <w:pPr>
              <w:pStyle w:val="ListParagraph"/>
              <w:numPr>
                <w:ilvl w:val="0"/>
                <w:numId w:val="2"/>
              </w:numPr>
              <w:spacing w:after="0"/>
            </w:pPr>
            <w:r w:rsidRPr="007E79E1">
              <w:t>Survey relevant correctional and community-based service organizations</w:t>
            </w:r>
            <w:r w:rsidR="00196F7A">
              <w:t>.</w:t>
            </w:r>
          </w:p>
          <w:p w14:paraId="7E9ACF6A" w14:textId="77777777" w:rsidR="000C680C" w:rsidRPr="00D30957" w:rsidRDefault="00196F7A" w:rsidP="00341DAF">
            <w:pPr>
              <w:pStyle w:val="ListParagraph"/>
              <w:numPr>
                <w:ilvl w:val="0"/>
                <w:numId w:val="2"/>
              </w:numPr>
              <w:spacing w:after="0"/>
            </w:pPr>
            <w:r w:rsidRPr="00D30957">
              <w:t>E</w:t>
            </w:r>
            <w:r>
              <w:t>lectronic health record</w:t>
            </w:r>
            <w:r w:rsidR="00FD1142">
              <w:t xml:space="preserve"> (EHR)</w:t>
            </w:r>
            <w:r w:rsidRPr="00D30957">
              <w:t xml:space="preserve"> </w:t>
            </w:r>
            <w:r w:rsidR="000C680C" w:rsidRPr="00D30957">
              <w:t>audit log data</w:t>
            </w:r>
            <w:r>
              <w:t>.</w:t>
            </w:r>
          </w:p>
          <w:p w14:paraId="14141616" w14:textId="77777777" w:rsidR="000C680C" w:rsidRPr="002F1818" w:rsidRDefault="000C680C" w:rsidP="00341DAF">
            <w:pPr>
              <w:pStyle w:val="ListParagraph"/>
              <w:numPr>
                <w:ilvl w:val="0"/>
                <w:numId w:val="2"/>
              </w:numPr>
              <w:spacing w:after="0"/>
            </w:pPr>
            <w:r w:rsidRPr="00D30957">
              <w:t>K</w:t>
            </w:r>
            <w:r w:rsidR="00196F7A">
              <w:t>entucky Health Information Exchange (K</w:t>
            </w:r>
            <w:r w:rsidRPr="00D30957">
              <w:t>HIE</w:t>
            </w:r>
            <w:r w:rsidR="00196F7A">
              <w:t>)</w:t>
            </w:r>
            <w:r w:rsidRPr="00D30957">
              <w:t xml:space="preserve"> audit log data</w:t>
            </w:r>
            <w:r w:rsidR="00196F7A">
              <w:t>.</w:t>
            </w:r>
          </w:p>
        </w:tc>
      </w:tr>
    </w:tbl>
    <w:p w14:paraId="55CB0839" w14:textId="77777777" w:rsidR="000C680C" w:rsidRDefault="000C680C" w:rsidP="00D038D6">
      <w:pPr>
        <w:pStyle w:val="Heading2"/>
      </w:pPr>
    </w:p>
    <w:p w14:paraId="6907692B" w14:textId="77777777" w:rsidR="000C680C" w:rsidRDefault="000C680C" w:rsidP="00D038D6">
      <w:pPr>
        <w:pStyle w:val="Heading2"/>
        <w:sectPr w:rsidR="000C680C" w:rsidSect="00341DAF">
          <w:headerReference w:type="default" r:id="rId16"/>
          <w:pgSz w:w="15840" w:h="12240" w:orient="landscape" w:code="1"/>
          <w:pgMar w:top="1440" w:right="1440" w:bottom="1440" w:left="1440" w:header="288" w:footer="288" w:gutter="0"/>
          <w:cols w:space="720"/>
          <w:docGrid w:linePitch="299"/>
        </w:sectPr>
      </w:pPr>
    </w:p>
    <w:p w14:paraId="5C5A7721" w14:textId="77777777" w:rsidR="000C680C" w:rsidRPr="002B03C9" w:rsidRDefault="000C680C" w:rsidP="00D038D6">
      <w:pPr>
        <w:pStyle w:val="Heading2"/>
      </w:pPr>
      <w:bookmarkStart w:id="14" w:name="_Toc150417363"/>
      <w:r>
        <w:lastRenderedPageBreak/>
        <w:t xml:space="preserve">Section I.D. </w:t>
      </w:r>
      <w:r w:rsidRPr="002B03C9">
        <w:t>Demonstration Area and Timeframe</w:t>
      </w:r>
      <w:bookmarkEnd w:id="14"/>
    </w:p>
    <w:p w14:paraId="15990508" w14:textId="2A03878C" w:rsidR="000C680C" w:rsidRDefault="000C680C" w:rsidP="00272214">
      <w:r w:rsidRPr="00C45E5C">
        <w:t xml:space="preserve">The </w:t>
      </w:r>
      <w:r>
        <w:t>Commonwealth</w:t>
      </w:r>
      <w:r w:rsidRPr="00C45E5C">
        <w:t xml:space="preserve"> seeks a five-year approval period</w:t>
      </w:r>
      <w:r>
        <w:t xml:space="preserve"> for the </w:t>
      </w:r>
      <w:r w:rsidR="00050D00">
        <w:t>Proposed Reentry Demonstration</w:t>
      </w:r>
      <w:r w:rsidRPr="00C45E5C">
        <w:t xml:space="preserve">. </w:t>
      </w:r>
      <w:r>
        <w:t xml:space="preserve">Services will be offered </w:t>
      </w:r>
      <w:r w:rsidRPr="00C45E5C">
        <w:t>statewide</w:t>
      </w:r>
      <w:r>
        <w:t xml:space="preserve">; however, geographic limitations exist due to location of </w:t>
      </w:r>
      <w:r w:rsidR="0011491D">
        <w:t>participating carceral settings</w:t>
      </w:r>
      <w:r>
        <w:t>.</w:t>
      </w:r>
      <w:r w:rsidR="00B130AB">
        <w:t xml:space="preserve"> </w:t>
      </w:r>
      <w:r w:rsidR="008A55DF" w:rsidRPr="009965D5">
        <w:rPr>
          <w:i/>
        </w:rPr>
        <w:fldChar w:fldCharType="begin"/>
      </w:r>
      <w:r w:rsidR="008A55DF" w:rsidRPr="009965D5">
        <w:rPr>
          <w:i/>
        </w:rPr>
        <w:instrText xml:space="preserve"> REF _Ref150161855 \h </w:instrText>
      </w:r>
      <w:r w:rsidR="008A55DF">
        <w:rPr>
          <w:i/>
        </w:rPr>
        <w:instrText xml:space="preserve"> \* MERGEFORMAT </w:instrText>
      </w:r>
      <w:r w:rsidR="008A55DF" w:rsidRPr="009965D5">
        <w:rPr>
          <w:i/>
        </w:rPr>
      </w:r>
      <w:r w:rsidR="008A55DF" w:rsidRPr="009965D5">
        <w:rPr>
          <w:i/>
        </w:rPr>
        <w:fldChar w:fldCharType="separate"/>
      </w:r>
      <w:r w:rsidR="001A1A35" w:rsidRPr="001A1A35">
        <w:rPr>
          <w:i/>
        </w:rPr>
        <w:t xml:space="preserve">Table </w:t>
      </w:r>
      <w:r w:rsidR="001A1A35" w:rsidRPr="001A1A35">
        <w:rPr>
          <w:i/>
          <w:noProof/>
        </w:rPr>
        <w:t>2</w:t>
      </w:r>
      <w:r w:rsidR="008A55DF" w:rsidRPr="009965D5">
        <w:rPr>
          <w:i/>
        </w:rPr>
        <w:fldChar w:fldCharType="end"/>
      </w:r>
      <w:r>
        <w:t xml:space="preserve"> provides the counties where state prisons overseen by DOC, YDCs overseen by DJJ, and the BHCDP operate.</w:t>
      </w:r>
      <w:r w:rsidR="00B130AB">
        <w:t xml:space="preserve"> </w:t>
      </w:r>
      <w:r>
        <w:t xml:space="preserve">Note, beneficiaries’ coverage of other TEAMKY </w:t>
      </w:r>
      <w:r w:rsidR="0011491D">
        <w:t xml:space="preserve">Demonstration </w:t>
      </w:r>
      <w:r>
        <w:t>services will not be limited by geographic area post-release.</w:t>
      </w:r>
    </w:p>
    <w:p w14:paraId="2A62C7CB" w14:textId="3FB2860F" w:rsidR="00923CA6" w:rsidRDefault="00923CA6" w:rsidP="000D43B0">
      <w:pPr>
        <w:pStyle w:val="Caption"/>
      </w:pPr>
      <w:bookmarkStart w:id="15" w:name="_Ref150161855"/>
      <w:r>
        <w:t xml:space="preserve">Table </w:t>
      </w:r>
      <w:fldSimple w:instr=" SEQ Table \* ARABIC ">
        <w:r w:rsidR="001A1A35">
          <w:rPr>
            <w:noProof/>
          </w:rPr>
          <w:t>2</w:t>
        </w:r>
      </w:fldSimple>
      <w:bookmarkEnd w:id="15"/>
      <w:r>
        <w:t>.</w:t>
      </w:r>
      <w:r w:rsidR="008663CE">
        <w:t xml:space="preserve"> </w:t>
      </w:r>
      <w:r w:rsidR="0011491D">
        <w:t xml:space="preserve">Proposed Reentry </w:t>
      </w:r>
      <w:r w:rsidRPr="00370E9E">
        <w:t>Demonstration Counties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2"/>
        <w:tblDescription w:val="State prisions include Caldwell County, Lyon County, Muhlenberg County, Oldham County, Anderson County, Boyle County, Fayette County, Lee County, Bell County, Morgan County, Elliott County, and&#10;Floyd County. YDCs include Adair County, Wayne County, Graves County, Rowan County, Grant County, and Morgan County. BHCDP Counties include Christian County, Clark County, Daviess County, Greenup County, Hopkins County, Kenton County, Letcher County, Madison County, McCracken County, Oldham County, and Pulaski County.&#10;&#10;"/>
      </w:tblPr>
      <w:tblGrid>
        <w:gridCol w:w="2156"/>
        <w:gridCol w:w="1743"/>
        <w:gridCol w:w="2103"/>
      </w:tblGrid>
      <w:tr w:rsidR="000C680C" w:rsidRPr="00FA46B7" w14:paraId="6B8CB183" w14:textId="77777777" w:rsidTr="007D0E01">
        <w:trPr>
          <w:trHeight w:val="300"/>
          <w:tblHeader/>
        </w:trPr>
        <w:tc>
          <w:tcPr>
            <w:tcW w:w="0" w:type="auto"/>
            <w:shd w:val="clear" w:color="auto" w:fill="093865"/>
            <w:noWrap/>
            <w:vAlign w:val="bottom"/>
            <w:hideMark/>
          </w:tcPr>
          <w:p w14:paraId="2A977FF4" w14:textId="77777777" w:rsidR="000C680C" w:rsidRPr="00923CA6" w:rsidRDefault="000C680C" w:rsidP="00923CA6">
            <w:pPr>
              <w:spacing w:after="0"/>
              <w:jc w:val="center"/>
              <w:rPr>
                <w:b/>
              </w:rPr>
            </w:pPr>
            <w:r w:rsidRPr="00923CA6">
              <w:rPr>
                <w:b/>
              </w:rPr>
              <w:t>State Prisons</w:t>
            </w:r>
          </w:p>
        </w:tc>
        <w:tc>
          <w:tcPr>
            <w:tcW w:w="0" w:type="auto"/>
            <w:shd w:val="clear" w:color="auto" w:fill="093865"/>
            <w:vAlign w:val="bottom"/>
          </w:tcPr>
          <w:p w14:paraId="111478E1" w14:textId="77777777" w:rsidR="000C680C" w:rsidRPr="00923CA6" w:rsidRDefault="000C680C" w:rsidP="00923CA6">
            <w:pPr>
              <w:spacing w:after="0"/>
              <w:jc w:val="center"/>
              <w:rPr>
                <w:b/>
              </w:rPr>
            </w:pPr>
            <w:r w:rsidRPr="00923CA6">
              <w:rPr>
                <w:b/>
              </w:rPr>
              <w:t>YDCs</w:t>
            </w:r>
          </w:p>
        </w:tc>
        <w:tc>
          <w:tcPr>
            <w:tcW w:w="0" w:type="auto"/>
            <w:shd w:val="clear" w:color="auto" w:fill="093865"/>
            <w:vAlign w:val="bottom"/>
          </w:tcPr>
          <w:p w14:paraId="596DFCEB" w14:textId="77777777" w:rsidR="000C680C" w:rsidRPr="00923CA6" w:rsidRDefault="000C680C" w:rsidP="00923CA6">
            <w:pPr>
              <w:spacing w:after="0"/>
              <w:jc w:val="center"/>
              <w:rPr>
                <w:b/>
              </w:rPr>
            </w:pPr>
            <w:r w:rsidRPr="00923CA6">
              <w:rPr>
                <w:b/>
              </w:rPr>
              <w:t>BHCDP Counties</w:t>
            </w:r>
          </w:p>
        </w:tc>
      </w:tr>
      <w:tr w:rsidR="00BE3EBB" w:rsidRPr="00FA46B7" w14:paraId="4137F156" w14:textId="77777777" w:rsidTr="007D0E01">
        <w:trPr>
          <w:trHeight w:val="3593"/>
        </w:trPr>
        <w:tc>
          <w:tcPr>
            <w:tcW w:w="0" w:type="auto"/>
            <w:shd w:val="clear" w:color="auto" w:fill="auto"/>
            <w:noWrap/>
            <w:hideMark/>
          </w:tcPr>
          <w:p w14:paraId="0F82EF3F" w14:textId="77777777" w:rsidR="000C680C" w:rsidRPr="00FA46B7" w:rsidRDefault="000C680C" w:rsidP="00923CA6">
            <w:pPr>
              <w:spacing w:after="120"/>
            </w:pPr>
            <w:r>
              <w:t>C</w:t>
            </w:r>
            <w:r w:rsidRPr="00FA46B7">
              <w:t>aldwell County</w:t>
            </w:r>
          </w:p>
          <w:p w14:paraId="2D20F2B8" w14:textId="77777777" w:rsidR="000C680C" w:rsidRPr="00FA46B7" w:rsidRDefault="000C680C" w:rsidP="00923CA6">
            <w:pPr>
              <w:spacing w:after="120"/>
            </w:pPr>
            <w:r w:rsidRPr="00FA46B7">
              <w:t>Lyon County</w:t>
            </w:r>
          </w:p>
          <w:p w14:paraId="640C4479" w14:textId="77777777" w:rsidR="000C680C" w:rsidRPr="00FA46B7" w:rsidRDefault="000C680C" w:rsidP="00923CA6">
            <w:pPr>
              <w:spacing w:after="120"/>
            </w:pPr>
            <w:r w:rsidRPr="00FA46B7">
              <w:t>Muhlenberg County</w:t>
            </w:r>
          </w:p>
          <w:p w14:paraId="45ABC8AC" w14:textId="77777777" w:rsidR="000C680C" w:rsidRPr="00FA46B7" w:rsidRDefault="000C680C" w:rsidP="00923CA6">
            <w:pPr>
              <w:spacing w:after="120"/>
            </w:pPr>
            <w:r w:rsidRPr="00FA46B7">
              <w:t>Oldham County</w:t>
            </w:r>
            <w:r>
              <w:rPr>
                <w:rStyle w:val="FootnoteReference"/>
                <w:rFonts w:eastAsia="Times New Roman"/>
                <w:color w:val="000000"/>
              </w:rPr>
              <w:footnoteReference w:id="68"/>
            </w:r>
          </w:p>
          <w:p w14:paraId="6A3E4BD8" w14:textId="77777777" w:rsidR="00BE3EBB" w:rsidRPr="00FA46B7" w:rsidRDefault="000C680C" w:rsidP="00923CA6">
            <w:pPr>
              <w:spacing w:after="120"/>
            </w:pPr>
            <w:r w:rsidRPr="00FA46B7">
              <w:t>A</w:t>
            </w:r>
            <w:r w:rsidR="00BE3EBB" w:rsidRPr="00FA46B7">
              <w:t>nderson County</w:t>
            </w:r>
          </w:p>
          <w:p w14:paraId="72F083BE" w14:textId="77777777" w:rsidR="00BE3EBB" w:rsidRPr="00FA46B7" w:rsidRDefault="00BE3EBB" w:rsidP="00923CA6">
            <w:pPr>
              <w:spacing w:after="120"/>
            </w:pPr>
            <w:r w:rsidRPr="00FA46B7">
              <w:t>Boyle County</w:t>
            </w:r>
          </w:p>
          <w:p w14:paraId="0FFB0DE8" w14:textId="77777777" w:rsidR="00BE3EBB" w:rsidRPr="00FA46B7" w:rsidRDefault="00BE3EBB" w:rsidP="00923CA6">
            <w:pPr>
              <w:spacing w:after="120"/>
            </w:pPr>
            <w:r w:rsidRPr="00FA46B7">
              <w:t>Fayette County</w:t>
            </w:r>
          </w:p>
          <w:p w14:paraId="2D5136C1" w14:textId="77777777" w:rsidR="00BE3EBB" w:rsidRPr="00FA46B7" w:rsidRDefault="00BE3EBB" w:rsidP="00923CA6">
            <w:pPr>
              <w:spacing w:after="120"/>
            </w:pPr>
            <w:r w:rsidRPr="00FA46B7">
              <w:t>Lee County</w:t>
            </w:r>
          </w:p>
          <w:p w14:paraId="1FAE49CE" w14:textId="77777777" w:rsidR="00BE3EBB" w:rsidRPr="00FA46B7" w:rsidRDefault="00BE3EBB" w:rsidP="00923CA6">
            <w:pPr>
              <w:spacing w:after="120"/>
            </w:pPr>
            <w:r w:rsidRPr="00FA46B7">
              <w:t>Bell County</w:t>
            </w:r>
          </w:p>
          <w:p w14:paraId="7C522672" w14:textId="77777777" w:rsidR="00BE3EBB" w:rsidRPr="00FA46B7" w:rsidRDefault="00BE3EBB" w:rsidP="00923CA6">
            <w:pPr>
              <w:spacing w:after="120"/>
            </w:pPr>
            <w:r w:rsidRPr="00FA46B7">
              <w:t>Morgan County</w:t>
            </w:r>
          </w:p>
          <w:p w14:paraId="7699CF9C" w14:textId="77777777" w:rsidR="00BE3EBB" w:rsidRPr="00FA46B7" w:rsidRDefault="00BE3EBB" w:rsidP="00923CA6">
            <w:pPr>
              <w:spacing w:after="120"/>
            </w:pPr>
            <w:r w:rsidRPr="00FA46B7">
              <w:t>Elliott County</w:t>
            </w:r>
          </w:p>
          <w:p w14:paraId="05BE789B" w14:textId="77777777" w:rsidR="00BE3EBB" w:rsidRPr="00FA46B7" w:rsidRDefault="00BE3EBB" w:rsidP="00923CA6">
            <w:pPr>
              <w:spacing w:after="120"/>
            </w:pPr>
            <w:r w:rsidRPr="00FA46B7">
              <w:t>Floyd County</w:t>
            </w:r>
          </w:p>
        </w:tc>
        <w:tc>
          <w:tcPr>
            <w:tcW w:w="0" w:type="auto"/>
          </w:tcPr>
          <w:p w14:paraId="77257931" w14:textId="77777777" w:rsidR="00BE3EBB" w:rsidRPr="00FA46B7" w:rsidRDefault="00BE3EBB" w:rsidP="00923CA6">
            <w:pPr>
              <w:spacing w:after="120"/>
              <w:rPr>
                <w:b/>
              </w:rPr>
            </w:pPr>
            <w:r w:rsidRPr="00FA46B7">
              <w:t>Adair County</w:t>
            </w:r>
          </w:p>
          <w:p w14:paraId="73A7576A" w14:textId="77777777" w:rsidR="00BE3EBB" w:rsidRPr="00FA46B7" w:rsidRDefault="00BE3EBB" w:rsidP="00923CA6">
            <w:pPr>
              <w:spacing w:after="120"/>
              <w:rPr>
                <w:b/>
              </w:rPr>
            </w:pPr>
            <w:r w:rsidRPr="00FA46B7">
              <w:t>Wayne County</w:t>
            </w:r>
          </w:p>
          <w:p w14:paraId="75D17F35" w14:textId="77777777" w:rsidR="00BE3EBB" w:rsidRPr="00FA46B7" w:rsidRDefault="00BE3EBB" w:rsidP="00923CA6">
            <w:pPr>
              <w:spacing w:after="120"/>
              <w:rPr>
                <w:b/>
              </w:rPr>
            </w:pPr>
            <w:r w:rsidRPr="00FA46B7">
              <w:t>Graves County</w:t>
            </w:r>
          </w:p>
          <w:p w14:paraId="0109FE48" w14:textId="77777777" w:rsidR="00BE3EBB" w:rsidRPr="00FA46B7" w:rsidRDefault="00BE3EBB" w:rsidP="00923CA6">
            <w:pPr>
              <w:spacing w:after="120"/>
              <w:rPr>
                <w:b/>
              </w:rPr>
            </w:pPr>
            <w:r w:rsidRPr="00FA46B7">
              <w:t>Rowan County</w:t>
            </w:r>
          </w:p>
          <w:p w14:paraId="776CC487" w14:textId="77777777" w:rsidR="00BE3EBB" w:rsidRPr="00FA46B7" w:rsidRDefault="00BE3EBB" w:rsidP="00923CA6">
            <w:pPr>
              <w:spacing w:after="120"/>
              <w:rPr>
                <w:b/>
              </w:rPr>
            </w:pPr>
            <w:r w:rsidRPr="00FA46B7">
              <w:t>Grant County</w:t>
            </w:r>
          </w:p>
          <w:p w14:paraId="22BC6DFA" w14:textId="77777777" w:rsidR="00BE3EBB" w:rsidRPr="00FA46B7" w:rsidRDefault="00BE3EBB" w:rsidP="00923CA6">
            <w:pPr>
              <w:spacing w:after="120"/>
              <w:rPr>
                <w:b/>
              </w:rPr>
            </w:pPr>
            <w:r w:rsidRPr="00FA46B7">
              <w:t>Morgan County</w:t>
            </w:r>
          </w:p>
        </w:tc>
        <w:tc>
          <w:tcPr>
            <w:tcW w:w="0" w:type="auto"/>
          </w:tcPr>
          <w:p w14:paraId="31D3C34C" w14:textId="77777777" w:rsidR="00BE3EBB" w:rsidRPr="00FA46B7" w:rsidRDefault="00BE3EBB" w:rsidP="00923CA6">
            <w:pPr>
              <w:spacing w:after="120"/>
              <w:rPr>
                <w:b/>
              </w:rPr>
            </w:pPr>
            <w:r w:rsidRPr="00FA46B7">
              <w:t>Christian County</w:t>
            </w:r>
          </w:p>
          <w:p w14:paraId="23F80C49" w14:textId="77777777" w:rsidR="00BE3EBB" w:rsidRPr="00FA46B7" w:rsidRDefault="00BE3EBB" w:rsidP="00923CA6">
            <w:pPr>
              <w:spacing w:after="120"/>
              <w:rPr>
                <w:b/>
              </w:rPr>
            </w:pPr>
            <w:r w:rsidRPr="00FA46B7">
              <w:t>Clark County</w:t>
            </w:r>
          </w:p>
          <w:p w14:paraId="7DFBFF8B" w14:textId="77777777" w:rsidR="00BE3EBB" w:rsidRPr="00FA46B7" w:rsidRDefault="00BE3EBB" w:rsidP="00923CA6">
            <w:pPr>
              <w:spacing w:after="120"/>
              <w:rPr>
                <w:b/>
              </w:rPr>
            </w:pPr>
            <w:r w:rsidRPr="00FA46B7">
              <w:t>Daviess County</w:t>
            </w:r>
          </w:p>
          <w:p w14:paraId="47876C16" w14:textId="77777777" w:rsidR="00BE3EBB" w:rsidRPr="00FA46B7" w:rsidRDefault="00BE3EBB" w:rsidP="00923CA6">
            <w:pPr>
              <w:spacing w:after="120"/>
              <w:rPr>
                <w:b/>
              </w:rPr>
            </w:pPr>
            <w:r w:rsidRPr="00FA46B7">
              <w:t>Greenup County</w:t>
            </w:r>
          </w:p>
          <w:p w14:paraId="314A53BF" w14:textId="77777777" w:rsidR="00BE3EBB" w:rsidRPr="00FA46B7" w:rsidRDefault="00BE3EBB" w:rsidP="00923CA6">
            <w:pPr>
              <w:spacing w:after="120"/>
              <w:rPr>
                <w:b/>
              </w:rPr>
            </w:pPr>
            <w:r w:rsidRPr="00FA46B7">
              <w:t>Hopkins County</w:t>
            </w:r>
          </w:p>
          <w:p w14:paraId="0B7B925E" w14:textId="77777777" w:rsidR="00BE3EBB" w:rsidRPr="00FA46B7" w:rsidRDefault="00BE3EBB" w:rsidP="00923CA6">
            <w:pPr>
              <w:spacing w:after="120"/>
              <w:rPr>
                <w:b/>
              </w:rPr>
            </w:pPr>
            <w:r w:rsidRPr="00FA46B7">
              <w:t>Kenton County</w:t>
            </w:r>
          </w:p>
          <w:p w14:paraId="1EAADAAB" w14:textId="77777777" w:rsidR="00BE3EBB" w:rsidRPr="00FA46B7" w:rsidRDefault="00BE3EBB" w:rsidP="00923CA6">
            <w:pPr>
              <w:spacing w:after="120"/>
              <w:rPr>
                <w:b/>
              </w:rPr>
            </w:pPr>
            <w:r w:rsidRPr="00FA46B7">
              <w:t>Letcher County</w:t>
            </w:r>
          </w:p>
          <w:p w14:paraId="1B93A6A5" w14:textId="77777777" w:rsidR="00BE3EBB" w:rsidRPr="00FA46B7" w:rsidRDefault="00BE3EBB" w:rsidP="00923CA6">
            <w:pPr>
              <w:spacing w:after="120"/>
              <w:rPr>
                <w:b/>
              </w:rPr>
            </w:pPr>
            <w:r w:rsidRPr="00FA46B7">
              <w:t>Madison County</w:t>
            </w:r>
          </w:p>
          <w:p w14:paraId="0A6CB73A" w14:textId="77777777" w:rsidR="00BE3EBB" w:rsidRPr="00FA46B7" w:rsidRDefault="00BE3EBB" w:rsidP="00923CA6">
            <w:pPr>
              <w:spacing w:after="120"/>
              <w:rPr>
                <w:b/>
              </w:rPr>
            </w:pPr>
            <w:r w:rsidRPr="00FA46B7">
              <w:t>McCracken County</w:t>
            </w:r>
          </w:p>
          <w:p w14:paraId="07BDD0CA" w14:textId="77777777" w:rsidR="00BE3EBB" w:rsidRPr="00FA46B7" w:rsidRDefault="00BE3EBB" w:rsidP="00923CA6">
            <w:pPr>
              <w:spacing w:after="120"/>
              <w:rPr>
                <w:b/>
              </w:rPr>
            </w:pPr>
            <w:r w:rsidRPr="00FA46B7">
              <w:t>Oldham County</w:t>
            </w:r>
          </w:p>
          <w:p w14:paraId="17FF8903" w14:textId="77777777" w:rsidR="00BE3EBB" w:rsidRPr="00FA46B7" w:rsidRDefault="00BE3EBB" w:rsidP="00923CA6">
            <w:pPr>
              <w:spacing w:after="120"/>
              <w:rPr>
                <w:b/>
              </w:rPr>
            </w:pPr>
            <w:r w:rsidRPr="00FA46B7">
              <w:t>Pulaski County</w:t>
            </w:r>
          </w:p>
        </w:tc>
      </w:tr>
    </w:tbl>
    <w:p w14:paraId="1A324164" w14:textId="77777777" w:rsidR="00807B96" w:rsidRDefault="00807B96" w:rsidP="009965D5">
      <w:pPr>
        <w:spacing w:after="0"/>
        <w:rPr>
          <w:highlight w:val="cyan"/>
        </w:rPr>
      </w:pPr>
    </w:p>
    <w:p w14:paraId="1503684E" w14:textId="77777777" w:rsidR="00B044D1" w:rsidRPr="000D43B0" w:rsidRDefault="00C26900" w:rsidP="000D43B0">
      <w:pPr>
        <w:pStyle w:val="Heading2"/>
      </w:pPr>
      <w:bookmarkStart w:id="16" w:name="_Toc150417364"/>
      <w:r w:rsidRPr="000D43B0">
        <w:t xml:space="preserve">Section I.E. </w:t>
      </w:r>
      <w:r w:rsidR="00B044D1" w:rsidRPr="000D43B0">
        <w:t>Impact to Medicaid or CHIP</w:t>
      </w:r>
      <w:bookmarkEnd w:id="16"/>
    </w:p>
    <w:p w14:paraId="3EC53D0C" w14:textId="6CBFB098" w:rsidR="000C128B" w:rsidRPr="009E6DD5" w:rsidRDefault="00131848" w:rsidP="00272214">
      <w:r>
        <w:t xml:space="preserve">The </w:t>
      </w:r>
      <w:r w:rsidR="00076ADF">
        <w:t>proposed waiver request</w:t>
      </w:r>
      <w:r>
        <w:t xml:space="preserve"> will support the Commonwealth’s overall effort to address the health and well</w:t>
      </w:r>
      <w:r w:rsidR="007158EC">
        <w:t>-</w:t>
      </w:r>
      <w:r>
        <w:t xml:space="preserve">being of vulnerable Kentuckians, particularly those transitioning from </w:t>
      </w:r>
      <w:r w:rsidR="003D1641">
        <w:t>s</w:t>
      </w:r>
      <w:r>
        <w:t xml:space="preserve">tate prisons </w:t>
      </w:r>
      <w:r w:rsidR="007268AD">
        <w:t xml:space="preserve">and YDCs </w:t>
      </w:r>
      <w:r>
        <w:t>into the community.</w:t>
      </w:r>
      <w:r w:rsidR="00B130AB">
        <w:t xml:space="preserve"> </w:t>
      </w:r>
      <w:r w:rsidR="00076ADF">
        <w:t xml:space="preserve">This request will not affect or modify other components of the Commonwealth’s </w:t>
      </w:r>
      <w:r w:rsidR="00076ADF" w:rsidRPr="00076ADF">
        <w:t xml:space="preserve">Medicaid and CHIP programs </w:t>
      </w:r>
      <w:r w:rsidR="001B2ECB">
        <w:t xml:space="preserve">beyond </w:t>
      </w:r>
      <w:r w:rsidR="00076ADF">
        <w:t>what is described herein</w:t>
      </w:r>
      <w:r w:rsidR="001B2ECB">
        <w:t xml:space="preserve">. </w:t>
      </w:r>
    </w:p>
    <w:p w14:paraId="2FC3BE7E" w14:textId="77777777" w:rsidR="000C128B" w:rsidRPr="009F36C7" w:rsidRDefault="000C128B" w:rsidP="009F36C7">
      <w:pPr>
        <w:pStyle w:val="Heading1"/>
      </w:pPr>
      <w:bookmarkStart w:id="17" w:name="_Toc150417365"/>
      <w:r w:rsidRPr="009F36C7">
        <w:t>Section II – Demonstration Eligibility</w:t>
      </w:r>
      <w:bookmarkEnd w:id="17"/>
    </w:p>
    <w:p w14:paraId="132FDDDF" w14:textId="305B2D94" w:rsidR="00067E4C" w:rsidRDefault="00597C6D" w:rsidP="00AD3A4C">
      <w:r>
        <w:t xml:space="preserve">Individuals eligible to participate in the </w:t>
      </w:r>
      <w:r w:rsidR="0011491D">
        <w:t xml:space="preserve">Proposed Reentry Demonstration </w:t>
      </w:r>
      <w:r>
        <w:t xml:space="preserve">include adults and youth who would be eligible for Medicaid or CHIP if not for their </w:t>
      </w:r>
      <w:r w:rsidRPr="00854FBB">
        <w:t xml:space="preserve">incarceration status in </w:t>
      </w:r>
      <w:r w:rsidR="00FA1B7B">
        <w:t xml:space="preserve">a </w:t>
      </w:r>
      <w:r w:rsidRPr="00854FBB">
        <w:t xml:space="preserve">state prison </w:t>
      </w:r>
      <w:r w:rsidR="00854FBB">
        <w:t xml:space="preserve">(i.e., </w:t>
      </w:r>
      <w:r w:rsidR="007158EC">
        <w:t>i</w:t>
      </w:r>
      <w:r w:rsidR="00854FBB">
        <w:t xml:space="preserve">ncarcerated </w:t>
      </w:r>
      <w:r w:rsidR="007158EC">
        <w:t>a</w:t>
      </w:r>
      <w:r w:rsidR="00854FBB">
        <w:t xml:space="preserve">dults) </w:t>
      </w:r>
      <w:r w:rsidRPr="00854FBB">
        <w:t xml:space="preserve">or </w:t>
      </w:r>
      <w:r w:rsidR="00FA1B7B">
        <w:t xml:space="preserve">a </w:t>
      </w:r>
      <w:r w:rsidRPr="00854FBB">
        <w:t>YDC</w:t>
      </w:r>
      <w:r w:rsidR="00854FBB">
        <w:t xml:space="preserve"> (i.e., YDC-</w:t>
      </w:r>
      <w:r w:rsidR="000D43B0">
        <w:t>p</w:t>
      </w:r>
      <w:r w:rsidR="00854FBB">
        <w:t xml:space="preserve">laced </w:t>
      </w:r>
      <w:r w:rsidR="000D43B0">
        <w:t>y</w:t>
      </w:r>
      <w:r w:rsidR="00854FBB">
        <w:t>outh)</w:t>
      </w:r>
      <w:r w:rsidR="000D43B0">
        <w:t>,</w:t>
      </w:r>
      <w:r w:rsidRPr="00854FBB">
        <w:t xml:space="preserve"> and Medicaid</w:t>
      </w:r>
      <w:r w:rsidR="000D43B0">
        <w:t>-</w:t>
      </w:r>
      <w:r w:rsidR="00854FBB">
        <w:t>enrolled</w:t>
      </w:r>
      <w:r w:rsidRPr="00854FBB">
        <w:t xml:space="preserve"> adults participating in the Kentucky BHCD</w:t>
      </w:r>
      <w:r w:rsidR="000D43B0">
        <w:t>P</w:t>
      </w:r>
      <w:r w:rsidR="00854FBB">
        <w:t xml:space="preserve"> (i.e., BHDC</w:t>
      </w:r>
      <w:r w:rsidR="000D43B0">
        <w:t>P</w:t>
      </w:r>
      <w:r w:rsidR="00854FBB">
        <w:t xml:space="preserve"> </w:t>
      </w:r>
      <w:r w:rsidR="000D43B0">
        <w:t>p</w:t>
      </w:r>
      <w:r w:rsidR="00854FBB">
        <w:t>articipants)</w:t>
      </w:r>
      <w:r w:rsidRPr="00854FBB">
        <w:t>.</w:t>
      </w:r>
      <w:r w:rsidR="00B130AB">
        <w:t xml:space="preserve"> </w:t>
      </w:r>
      <w:r w:rsidR="004206E6" w:rsidRPr="00854FBB">
        <w:t xml:space="preserve">The </w:t>
      </w:r>
      <w:r w:rsidR="0011491D">
        <w:t xml:space="preserve">Proposed Reentry Demonstration </w:t>
      </w:r>
      <w:r w:rsidR="004206E6" w:rsidRPr="00854FBB">
        <w:t>will not include any enrollment limits</w:t>
      </w:r>
      <w:r w:rsidR="00152984">
        <w:t xml:space="preserve"> and, </w:t>
      </w:r>
      <w:r w:rsidR="004206E6" w:rsidRPr="00854FBB">
        <w:t xml:space="preserve">if approved, </w:t>
      </w:r>
      <w:r w:rsidR="00152984">
        <w:t>the Common</w:t>
      </w:r>
      <w:r w:rsidR="001818DF">
        <w:t>w</w:t>
      </w:r>
      <w:r w:rsidR="00152984">
        <w:t xml:space="preserve">ealth projects that </w:t>
      </w:r>
      <w:r w:rsidR="00E92BA7" w:rsidRPr="00854FBB">
        <w:t xml:space="preserve">approximately </w:t>
      </w:r>
      <w:r w:rsidR="00067E4C">
        <w:t xml:space="preserve">23,567 adults and 168 youth </w:t>
      </w:r>
      <w:r w:rsidR="00E92BA7" w:rsidRPr="00854FBB">
        <w:t xml:space="preserve">will </w:t>
      </w:r>
      <w:r w:rsidR="00067E4C">
        <w:t>receive services over the approval period</w:t>
      </w:r>
      <w:r w:rsidR="00E92BA7" w:rsidRPr="001818DF">
        <w:t>.</w:t>
      </w:r>
      <w:r w:rsidR="00B130AB" w:rsidRPr="001818DF">
        <w:t xml:space="preserve"> </w:t>
      </w:r>
      <w:r w:rsidR="00E92BA7" w:rsidRPr="001818DF">
        <w:t xml:space="preserve">This estimate </w:t>
      </w:r>
      <w:r w:rsidR="001818DF">
        <w:t xml:space="preserve">is based on an analysis of </w:t>
      </w:r>
      <w:r w:rsidR="001818DF" w:rsidRPr="001818DF">
        <w:t xml:space="preserve">historic Medicaid claims for individuals whose </w:t>
      </w:r>
      <w:r w:rsidR="001818DF" w:rsidRPr="001818DF">
        <w:lastRenderedPageBreak/>
        <w:t xml:space="preserve">eligibility was suspended due to incarceration </w:t>
      </w:r>
      <w:r w:rsidR="001818DF">
        <w:t>and</w:t>
      </w:r>
      <w:r w:rsidR="001818DF" w:rsidRPr="001818DF">
        <w:t xml:space="preserve"> was </w:t>
      </w:r>
      <w:r w:rsidR="001818DF">
        <w:t xml:space="preserve">subsequently </w:t>
      </w:r>
      <w:r w:rsidR="001818DF" w:rsidRPr="001818DF">
        <w:t xml:space="preserve">lifted, </w:t>
      </w:r>
      <w:r w:rsidR="001818DF">
        <w:t>as well as</w:t>
      </w:r>
      <w:r w:rsidR="001818DF" w:rsidRPr="001818DF">
        <w:t xml:space="preserve"> projections of growth over the life of the Proposed </w:t>
      </w:r>
      <w:r w:rsidR="00A35A77">
        <w:t>Reentry</w:t>
      </w:r>
      <w:r w:rsidR="001818DF" w:rsidRPr="001818DF">
        <w:t xml:space="preserve"> Demonstration.</w:t>
      </w:r>
      <w:r w:rsidR="001818DF">
        <w:t xml:space="preserve"> </w:t>
      </w:r>
      <w:r w:rsidR="007E1E22">
        <w:t>The</w:t>
      </w:r>
      <w:r w:rsidR="004206E6" w:rsidRPr="00854FBB">
        <w:t xml:space="preserve"> Commonwealth is not requesting </w:t>
      </w:r>
      <w:r w:rsidR="000C128B" w:rsidRPr="00854FBB">
        <w:t xml:space="preserve">any eligibility simplifications that require </w:t>
      </w:r>
      <w:r w:rsidR="004206E6" w:rsidRPr="00854FBB">
        <w:t>waiver</w:t>
      </w:r>
      <w:r w:rsidR="000C128B" w:rsidRPr="00854FBB">
        <w:t xml:space="preserve"> authority</w:t>
      </w:r>
      <w:r w:rsidR="00B83D8E">
        <w:t>. T</w:t>
      </w:r>
      <w:r w:rsidR="00AD3A4C">
        <w:t xml:space="preserve">he Commonwealth </w:t>
      </w:r>
      <w:r w:rsidR="00B83D8E">
        <w:t xml:space="preserve">is also not </w:t>
      </w:r>
      <w:r w:rsidR="00AD3A4C">
        <w:t>requesting any changes to Medicaid state plan eligibility.</w:t>
      </w:r>
      <w:r w:rsidR="00152984">
        <w:t xml:space="preserve"> </w:t>
      </w:r>
      <w:r w:rsidR="00D0452E" w:rsidRPr="00746864">
        <w:rPr>
          <w:i/>
        </w:rPr>
        <w:fldChar w:fldCharType="begin"/>
      </w:r>
      <w:r w:rsidR="00D0452E" w:rsidRPr="007D0E01">
        <w:rPr>
          <w:i/>
        </w:rPr>
        <w:instrText xml:space="preserve"> REF _Ref150372488 \h </w:instrText>
      </w:r>
      <w:r w:rsidR="00D0452E">
        <w:rPr>
          <w:i/>
        </w:rPr>
        <w:instrText xml:space="preserve"> \* MERGEFORMAT </w:instrText>
      </w:r>
      <w:r w:rsidR="00D0452E" w:rsidRPr="00746864">
        <w:rPr>
          <w:i/>
        </w:rPr>
      </w:r>
      <w:r w:rsidR="00D0452E" w:rsidRPr="00746864">
        <w:rPr>
          <w:i/>
        </w:rPr>
        <w:fldChar w:fldCharType="separate"/>
      </w:r>
      <w:r w:rsidR="001A1A35" w:rsidRPr="001A1A35">
        <w:rPr>
          <w:i/>
        </w:rPr>
        <w:t xml:space="preserve">Table </w:t>
      </w:r>
      <w:r w:rsidR="001A1A35" w:rsidRPr="001A1A35">
        <w:rPr>
          <w:i/>
          <w:noProof/>
        </w:rPr>
        <w:t>3</w:t>
      </w:r>
      <w:r w:rsidR="00D0452E" w:rsidRPr="00746864">
        <w:rPr>
          <w:i/>
        </w:rPr>
        <w:fldChar w:fldCharType="end"/>
      </w:r>
      <w:r w:rsidR="00D0452E">
        <w:t xml:space="preserve"> </w:t>
      </w:r>
      <w:r w:rsidR="00A35A77">
        <w:t xml:space="preserve">broadly </w:t>
      </w:r>
      <w:r w:rsidR="00AD3A4C">
        <w:t xml:space="preserve">lists Medicaid eligibility groups affected by the Proposed Reentry </w:t>
      </w:r>
      <w:proofErr w:type="spellStart"/>
      <w:r w:rsidR="00AD3A4C">
        <w:t>Demosntration</w:t>
      </w:r>
      <w:proofErr w:type="spellEnd"/>
      <w:r w:rsidR="00AD3A4C">
        <w:t>.</w:t>
      </w:r>
      <w:r w:rsidR="008663CE">
        <w:t xml:space="preserve"> </w:t>
      </w:r>
      <w:r w:rsidR="00AD3A4C">
        <w:t xml:space="preserve"> </w:t>
      </w:r>
    </w:p>
    <w:p w14:paraId="77D0CE17" w14:textId="18C12000" w:rsidR="00D0452E" w:rsidRDefault="00D0452E" w:rsidP="00746864">
      <w:pPr>
        <w:pStyle w:val="Caption"/>
      </w:pPr>
      <w:bookmarkStart w:id="18" w:name="_Ref150372488"/>
      <w:r>
        <w:t xml:space="preserve">Table </w:t>
      </w:r>
      <w:fldSimple w:instr=" SEQ Table \* ARABIC ">
        <w:r w:rsidR="001A1A35">
          <w:rPr>
            <w:noProof/>
          </w:rPr>
          <w:t>3</w:t>
        </w:r>
      </w:fldSimple>
      <w:bookmarkEnd w:id="18"/>
      <w:r>
        <w:t xml:space="preserve">. </w:t>
      </w:r>
      <w:r w:rsidRPr="001E3B3C">
        <w:t xml:space="preserve">Medicaid </w:t>
      </w:r>
      <w:proofErr w:type="spellStart"/>
      <w:r w:rsidRPr="001E3B3C">
        <w:t>Eligiblity</w:t>
      </w:r>
      <w:proofErr w:type="spellEnd"/>
      <w:r w:rsidRPr="001E3B3C">
        <w:t xml:space="preserve"> Groups Affected by the Proposed </w:t>
      </w:r>
      <w:proofErr w:type="spellStart"/>
      <w:r w:rsidRPr="001E3B3C">
        <w:t>Rentry</w:t>
      </w:r>
      <w:proofErr w:type="spellEnd"/>
      <w:r w:rsidRPr="001E3B3C">
        <w:t xml:space="preserve"> Demonstration</w:t>
      </w:r>
    </w:p>
    <w:tbl>
      <w:tblPr>
        <w:tblStyle w:val="TableGrid"/>
        <w:tblW w:w="46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3"/>
        <w:tblDescription w:val="Eligibility Group Name: Adult group; Citation: 42 CFR § 435.119; Income Level: 0%–138% FPL; Eligibility Group Name: pregnant women; Citation: 42 CFR § 435.116; Income Level: 0%–195% FPL; Eligibility Group Name: children under 19; Citation: 42 CFR § 435.118; Income Level: 0%–195% FPL; Eligibility Group Name: foster care and former foster care children; Citation: 42 CFR § 435.150; Income Level: N/A;    Eligibility Group Name: parents and other caretaker relatives; Citation: 42 CFR § 435.110; Income Level: 0%–138%. "/>
      </w:tblPr>
      <w:tblGrid>
        <w:gridCol w:w="3145"/>
        <w:gridCol w:w="2755"/>
        <w:gridCol w:w="2754"/>
      </w:tblGrid>
      <w:tr w:rsidR="005E1758" w:rsidRPr="009F36C7" w14:paraId="5CA732EB" w14:textId="76F79F2A" w:rsidTr="00746864">
        <w:trPr>
          <w:tblHeader/>
        </w:trPr>
        <w:tc>
          <w:tcPr>
            <w:tcW w:w="1817" w:type="pct"/>
            <w:shd w:val="clear" w:color="auto" w:fill="093865"/>
            <w:vAlign w:val="bottom"/>
          </w:tcPr>
          <w:p w14:paraId="40DB629D" w14:textId="3DFDD70C" w:rsidR="005E1758" w:rsidRPr="00277441" w:rsidRDefault="005E1758" w:rsidP="00746864">
            <w:pPr>
              <w:spacing w:after="0"/>
              <w:jc w:val="center"/>
              <w:rPr>
                <w:b/>
              </w:rPr>
            </w:pPr>
            <w:r w:rsidRPr="00746864">
              <w:rPr>
                <w:b/>
              </w:rPr>
              <w:t>Eligibility Group Name</w:t>
            </w:r>
          </w:p>
        </w:tc>
        <w:tc>
          <w:tcPr>
            <w:tcW w:w="1592" w:type="pct"/>
            <w:shd w:val="clear" w:color="auto" w:fill="093865"/>
            <w:vAlign w:val="bottom"/>
          </w:tcPr>
          <w:p w14:paraId="3B62E991" w14:textId="01FB8259" w:rsidR="005E1758" w:rsidRPr="00277441" w:rsidRDefault="005E1758" w:rsidP="00746864">
            <w:pPr>
              <w:spacing w:after="0"/>
              <w:jc w:val="center"/>
              <w:rPr>
                <w:b/>
              </w:rPr>
            </w:pPr>
            <w:r w:rsidRPr="00746864">
              <w:rPr>
                <w:b/>
              </w:rPr>
              <w:t>Citation</w:t>
            </w:r>
          </w:p>
        </w:tc>
        <w:tc>
          <w:tcPr>
            <w:tcW w:w="1591" w:type="pct"/>
            <w:shd w:val="clear" w:color="auto" w:fill="093865"/>
            <w:vAlign w:val="bottom"/>
          </w:tcPr>
          <w:p w14:paraId="14A212BC" w14:textId="28C4533F" w:rsidR="005E1758" w:rsidRPr="00277441" w:rsidRDefault="005E1758" w:rsidP="00746864">
            <w:pPr>
              <w:spacing w:after="0"/>
              <w:jc w:val="center"/>
              <w:rPr>
                <w:b/>
              </w:rPr>
            </w:pPr>
            <w:r w:rsidRPr="00746864">
              <w:rPr>
                <w:b/>
              </w:rPr>
              <w:t>Income Level</w:t>
            </w:r>
          </w:p>
        </w:tc>
      </w:tr>
      <w:tr w:rsidR="005E1758" w:rsidRPr="00854FBB" w14:paraId="5954D88B" w14:textId="28B56F2B" w:rsidTr="00746864">
        <w:tc>
          <w:tcPr>
            <w:tcW w:w="1817" w:type="pct"/>
          </w:tcPr>
          <w:p w14:paraId="15595A02" w14:textId="71F71A3F" w:rsidR="005E1758" w:rsidRDefault="005E1758" w:rsidP="00746864">
            <w:pPr>
              <w:spacing w:after="0"/>
            </w:pPr>
            <w:r w:rsidRPr="00F62D65">
              <w:t>Adult group</w:t>
            </w:r>
          </w:p>
        </w:tc>
        <w:tc>
          <w:tcPr>
            <w:tcW w:w="1592" w:type="pct"/>
          </w:tcPr>
          <w:p w14:paraId="2AFA2471" w14:textId="2FB6C56B" w:rsidR="005E1758" w:rsidRPr="00854FBB" w:rsidRDefault="005E1758" w:rsidP="00746864">
            <w:pPr>
              <w:spacing w:after="0"/>
            </w:pPr>
            <w:r w:rsidRPr="00F62D65">
              <w:t>42 CFR § 435.119</w:t>
            </w:r>
          </w:p>
        </w:tc>
        <w:tc>
          <w:tcPr>
            <w:tcW w:w="1591" w:type="pct"/>
          </w:tcPr>
          <w:p w14:paraId="5376994A" w14:textId="11C06E52" w:rsidR="005E1758" w:rsidRPr="00854FBB" w:rsidRDefault="005E1758" w:rsidP="00746864">
            <w:pPr>
              <w:spacing w:after="0"/>
            </w:pPr>
            <w:r w:rsidRPr="00F62D65">
              <w:t>0%–138% FPL</w:t>
            </w:r>
          </w:p>
        </w:tc>
      </w:tr>
      <w:tr w:rsidR="005E1758" w:rsidRPr="00854FBB" w14:paraId="3072510A" w14:textId="77777777" w:rsidTr="00746864">
        <w:tc>
          <w:tcPr>
            <w:tcW w:w="1817" w:type="pct"/>
          </w:tcPr>
          <w:p w14:paraId="389A15EE" w14:textId="1E54E81A" w:rsidR="005E1758" w:rsidRDefault="005E1758" w:rsidP="00746864">
            <w:pPr>
              <w:spacing w:after="0"/>
            </w:pPr>
            <w:r w:rsidRPr="00F62D65">
              <w:t>Pregnant women</w:t>
            </w:r>
          </w:p>
        </w:tc>
        <w:tc>
          <w:tcPr>
            <w:tcW w:w="1592" w:type="pct"/>
          </w:tcPr>
          <w:p w14:paraId="0A483078" w14:textId="3A58FCA5" w:rsidR="005E1758" w:rsidRPr="00854FBB" w:rsidRDefault="005E1758" w:rsidP="00746864">
            <w:pPr>
              <w:spacing w:after="0"/>
            </w:pPr>
            <w:r w:rsidRPr="00F62D65">
              <w:t>42 CFR § 435.116</w:t>
            </w:r>
          </w:p>
        </w:tc>
        <w:tc>
          <w:tcPr>
            <w:tcW w:w="1591" w:type="pct"/>
          </w:tcPr>
          <w:p w14:paraId="0E781961" w14:textId="02E11F8F" w:rsidR="005E1758" w:rsidRPr="00854FBB" w:rsidRDefault="005E1758" w:rsidP="00746864">
            <w:pPr>
              <w:spacing w:after="0"/>
            </w:pPr>
            <w:r w:rsidRPr="00F62D65">
              <w:t>0%–195% FPL</w:t>
            </w:r>
          </w:p>
        </w:tc>
      </w:tr>
      <w:tr w:rsidR="005E1758" w:rsidRPr="00854FBB" w14:paraId="2B4213DB" w14:textId="77777777" w:rsidTr="00746864">
        <w:tc>
          <w:tcPr>
            <w:tcW w:w="1817" w:type="pct"/>
          </w:tcPr>
          <w:p w14:paraId="2C9BCC51" w14:textId="11846DB8" w:rsidR="005E1758" w:rsidRDefault="005E1758" w:rsidP="00746864">
            <w:pPr>
              <w:spacing w:after="0"/>
            </w:pPr>
            <w:r w:rsidRPr="00F62D65">
              <w:t>Children under 19</w:t>
            </w:r>
          </w:p>
        </w:tc>
        <w:tc>
          <w:tcPr>
            <w:tcW w:w="1592" w:type="pct"/>
          </w:tcPr>
          <w:p w14:paraId="6FFA178A" w14:textId="2071EB3D" w:rsidR="005E1758" w:rsidRPr="00854FBB" w:rsidRDefault="005E1758" w:rsidP="00746864">
            <w:pPr>
              <w:spacing w:after="0"/>
            </w:pPr>
            <w:r w:rsidRPr="00F62D65">
              <w:t>42 CFR § 435.118</w:t>
            </w:r>
          </w:p>
        </w:tc>
        <w:tc>
          <w:tcPr>
            <w:tcW w:w="1591" w:type="pct"/>
          </w:tcPr>
          <w:p w14:paraId="6865FA59" w14:textId="4D5A40E7" w:rsidR="005E1758" w:rsidRPr="00854FBB" w:rsidRDefault="005E1758" w:rsidP="00746864">
            <w:pPr>
              <w:spacing w:after="0"/>
            </w:pPr>
            <w:r w:rsidRPr="00F62D65">
              <w:t>0%–195% FPL</w:t>
            </w:r>
          </w:p>
        </w:tc>
      </w:tr>
      <w:tr w:rsidR="005E1758" w:rsidRPr="00854FBB" w14:paraId="330AF125" w14:textId="77777777" w:rsidTr="00746864">
        <w:tc>
          <w:tcPr>
            <w:tcW w:w="1817" w:type="pct"/>
          </w:tcPr>
          <w:p w14:paraId="390EBC11" w14:textId="1A78AB2C" w:rsidR="005E1758" w:rsidRDefault="005E1758" w:rsidP="00746864">
            <w:pPr>
              <w:spacing w:after="0"/>
            </w:pPr>
            <w:r w:rsidRPr="00F62D65">
              <w:t>Foster care and former foster care children</w:t>
            </w:r>
          </w:p>
        </w:tc>
        <w:tc>
          <w:tcPr>
            <w:tcW w:w="1592" w:type="pct"/>
          </w:tcPr>
          <w:p w14:paraId="05519B51" w14:textId="224B74E1" w:rsidR="005E1758" w:rsidRPr="00854FBB" w:rsidRDefault="005E1758" w:rsidP="00746864">
            <w:pPr>
              <w:spacing w:after="0"/>
            </w:pPr>
            <w:r w:rsidRPr="00F62D65">
              <w:t xml:space="preserve">42 CFR § 435.150 </w:t>
            </w:r>
          </w:p>
        </w:tc>
        <w:tc>
          <w:tcPr>
            <w:tcW w:w="1591" w:type="pct"/>
          </w:tcPr>
          <w:p w14:paraId="26C01C50" w14:textId="43CF9090" w:rsidR="005E1758" w:rsidRPr="00854FBB" w:rsidRDefault="005E1758" w:rsidP="00746864">
            <w:pPr>
              <w:spacing w:after="0"/>
            </w:pPr>
            <w:r w:rsidRPr="00F62D65">
              <w:t>N/A</w:t>
            </w:r>
          </w:p>
        </w:tc>
      </w:tr>
      <w:tr w:rsidR="005E1758" w:rsidRPr="00854FBB" w14:paraId="0FF53BD7" w14:textId="77777777" w:rsidTr="00746864">
        <w:tc>
          <w:tcPr>
            <w:tcW w:w="1817" w:type="pct"/>
          </w:tcPr>
          <w:p w14:paraId="45D1E83D" w14:textId="0CE9C054" w:rsidR="005E1758" w:rsidRDefault="005E1758" w:rsidP="00746864">
            <w:pPr>
              <w:spacing w:after="0"/>
            </w:pPr>
            <w:r w:rsidRPr="00F62D65">
              <w:t>Parents and other caretaker relatives</w:t>
            </w:r>
          </w:p>
        </w:tc>
        <w:tc>
          <w:tcPr>
            <w:tcW w:w="1592" w:type="pct"/>
          </w:tcPr>
          <w:p w14:paraId="20C75729" w14:textId="7E840C16" w:rsidR="005E1758" w:rsidRPr="00854FBB" w:rsidRDefault="005E1758" w:rsidP="00746864">
            <w:pPr>
              <w:spacing w:after="0"/>
            </w:pPr>
            <w:r w:rsidRPr="00F62D65">
              <w:t>42 CFR § 435.110</w:t>
            </w:r>
          </w:p>
        </w:tc>
        <w:tc>
          <w:tcPr>
            <w:tcW w:w="1591" w:type="pct"/>
          </w:tcPr>
          <w:p w14:paraId="1A67820F" w14:textId="2AD0A353" w:rsidR="005E1758" w:rsidRPr="00854FBB" w:rsidRDefault="005E1758" w:rsidP="00746864">
            <w:pPr>
              <w:spacing w:after="0"/>
            </w:pPr>
            <w:r w:rsidRPr="00F62D65">
              <w:t>0%–138% FPL</w:t>
            </w:r>
          </w:p>
        </w:tc>
      </w:tr>
    </w:tbl>
    <w:p w14:paraId="6D41A54C" w14:textId="6C4949E2" w:rsidR="00B63EA3" w:rsidRPr="009E6DD5" w:rsidRDefault="000C128B" w:rsidP="00746864">
      <w:pPr>
        <w:pStyle w:val="Heading1"/>
        <w:spacing w:before="240"/>
      </w:pPr>
      <w:bookmarkStart w:id="19" w:name="_Toc150417366"/>
      <w:r w:rsidRPr="009E6DD5">
        <w:t>Section III – Demonstration Benefits and Cost Sharing Requirements</w:t>
      </w:r>
      <w:bookmarkEnd w:id="19"/>
    </w:p>
    <w:p w14:paraId="0A6F4262" w14:textId="6FD6F6E6" w:rsidR="00854FBB" w:rsidRPr="009E6DD5" w:rsidRDefault="004F204D" w:rsidP="00272214">
      <w:r w:rsidRPr="00BE787B">
        <w:t>B</w:t>
      </w:r>
      <w:r w:rsidR="000C128B" w:rsidRPr="00BE787B">
        <w:t xml:space="preserve">enefits provided under the </w:t>
      </w:r>
      <w:r w:rsidR="0011491D">
        <w:t xml:space="preserve">Proposed Reentry Demonstration </w:t>
      </w:r>
      <w:r w:rsidRPr="00BE787B">
        <w:t>will</w:t>
      </w:r>
      <w:r w:rsidR="000C128B" w:rsidRPr="00BE787B">
        <w:t xml:space="preserve"> differ from those provided under the </w:t>
      </w:r>
      <w:r w:rsidRPr="00BE787B">
        <w:t xml:space="preserve">Kentucky </w:t>
      </w:r>
      <w:r w:rsidR="000C128B" w:rsidRPr="00BE787B">
        <w:t xml:space="preserve">Medicaid and/or CHIP State </w:t>
      </w:r>
      <w:r w:rsidR="00C1661F" w:rsidRPr="00BE787B">
        <w:t>Plans; however, there will be no cost sharing requirements.</w:t>
      </w:r>
      <w:r w:rsidR="00B130AB">
        <w:t xml:space="preserve"> </w:t>
      </w:r>
      <w:r w:rsidR="00C1661F" w:rsidRPr="00BE787B">
        <w:t>The benefit package that each</w:t>
      </w:r>
      <w:r w:rsidR="00854FBB" w:rsidRPr="00BE787B">
        <w:t xml:space="preserve"> eligibility group will receive under the </w:t>
      </w:r>
      <w:r w:rsidR="0011491D">
        <w:t xml:space="preserve">Proposed Reentry Demonstration </w:t>
      </w:r>
      <w:r w:rsidR="00854FBB" w:rsidRPr="00BE787B">
        <w:t xml:space="preserve">is outlined in the </w:t>
      </w:r>
      <w:r w:rsidR="00A97FB2" w:rsidRPr="00A97FB2">
        <w:rPr>
          <w:i/>
        </w:rPr>
        <w:fldChar w:fldCharType="begin"/>
      </w:r>
      <w:r w:rsidR="00A97FB2" w:rsidRPr="00A97FB2">
        <w:rPr>
          <w:i/>
        </w:rPr>
        <w:instrText xml:space="preserve"> REF _Ref150161837 \h </w:instrText>
      </w:r>
      <w:r w:rsidR="00A97FB2">
        <w:rPr>
          <w:i/>
        </w:rPr>
        <w:instrText xml:space="preserve"> \* MERGEFORMAT </w:instrText>
      </w:r>
      <w:r w:rsidR="00A97FB2" w:rsidRPr="00A97FB2">
        <w:rPr>
          <w:i/>
        </w:rPr>
      </w:r>
      <w:r w:rsidR="00A97FB2" w:rsidRPr="00A97FB2">
        <w:rPr>
          <w:i/>
        </w:rPr>
        <w:fldChar w:fldCharType="separate"/>
      </w:r>
      <w:r w:rsidR="001A1A35" w:rsidRPr="001A1A35">
        <w:rPr>
          <w:i/>
        </w:rPr>
        <w:t xml:space="preserve">Table </w:t>
      </w:r>
      <w:r w:rsidR="001A1A35" w:rsidRPr="001A1A35">
        <w:rPr>
          <w:i/>
          <w:noProof/>
        </w:rPr>
        <w:t>4</w:t>
      </w:r>
      <w:r w:rsidR="00A97FB2" w:rsidRPr="00A97FB2">
        <w:rPr>
          <w:i/>
        </w:rPr>
        <w:fldChar w:fldCharType="end"/>
      </w:r>
      <w:r w:rsidR="00854FBB" w:rsidRPr="00BE787B">
        <w:t>.</w:t>
      </w:r>
      <w:r w:rsidR="008663CE">
        <w:t xml:space="preserve"> </w:t>
      </w:r>
      <w:r w:rsidR="00B130AB">
        <w:t xml:space="preserve"> </w:t>
      </w:r>
    </w:p>
    <w:p w14:paraId="6952611F" w14:textId="6F776BBC" w:rsidR="009F36C7" w:rsidRDefault="009F36C7" w:rsidP="009F36C7">
      <w:pPr>
        <w:pStyle w:val="Caption"/>
      </w:pPr>
      <w:bookmarkStart w:id="20" w:name="_Ref150161837"/>
      <w:r>
        <w:t xml:space="preserve">Table </w:t>
      </w:r>
      <w:fldSimple w:instr=" SEQ Table \* ARABIC ">
        <w:r w:rsidR="001A1A35">
          <w:rPr>
            <w:noProof/>
          </w:rPr>
          <w:t>4</w:t>
        </w:r>
      </w:fldSimple>
      <w:bookmarkEnd w:id="20"/>
      <w:r>
        <w:t xml:space="preserve">. </w:t>
      </w:r>
      <w:r w:rsidR="0011491D" w:rsidRPr="0011491D">
        <w:t xml:space="preserve">Proposed Reentry Demonstration </w:t>
      </w:r>
      <w:r w:rsidRPr="00286A82">
        <w:t>Benefit Package</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4"/>
        <w:tblDescription w:val="Eligibility Group: incarcerated adults. Benefits: Case management to address physical health, behavioral health, and HRSN up to 60 days prior to release, and up to 12 months post-release; MAT with accompanying counseling for individuals diagnosed with an SUD up to 60 days prior to release; 30-day supply of all clinically-required prescription medication (inclusive of OTC medications) and, if applicable, a prescription/written order for DME immediately upon release; RRSS for individuals diagnosed with an SUD up to 90 days post-release. Eligibility Group: YDC-Placed Youth. Benefits: Case management to address physical health, behavioral health, and HRSN up to 60 days prior to release, and up to 12 months post-release; MAT with accompanying counseling for individuals diagnosed with an SUD up to 60 days prior to release; 30-day supply of all clinically-required prescription medication (inclusive of OTC medications) and, if applicable, a prescription/written order for DME immediately upon release. Eligibility Group: BHCDP participatnts. Benefits: RRSS for individuals diagnosed with an SUD up to 90 days post-release. &#10;"/>
      </w:tblPr>
      <w:tblGrid>
        <w:gridCol w:w="2281"/>
        <w:gridCol w:w="7069"/>
      </w:tblGrid>
      <w:tr w:rsidR="00854FBB" w:rsidRPr="000401FB" w14:paraId="171597F1" w14:textId="77777777" w:rsidTr="003C1D70">
        <w:trPr>
          <w:tblHeader/>
        </w:trPr>
        <w:tc>
          <w:tcPr>
            <w:tcW w:w="1220" w:type="pct"/>
            <w:shd w:val="clear" w:color="auto" w:fill="093865"/>
            <w:vAlign w:val="bottom"/>
          </w:tcPr>
          <w:p w14:paraId="1864D2F5" w14:textId="77777777" w:rsidR="00854FBB" w:rsidRPr="009F36C7" w:rsidRDefault="00854FBB" w:rsidP="009F36C7">
            <w:pPr>
              <w:spacing w:after="0"/>
              <w:jc w:val="center"/>
              <w:rPr>
                <w:b/>
              </w:rPr>
            </w:pPr>
            <w:r w:rsidRPr="009F36C7">
              <w:rPr>
                <w:b/>
              </w:rPr>
              <w:t>Eligibility Group</w:t>
            </w:r>
          </w:p>
        </w:tc>
        <w:tc>
          <w:tcPr>
            <w:tcW w:w="3780" w:type="pct"/>
            <w:shd w:val="clear" w:color="auto" w:fill="093865"/>
            <w:vAlign w:val="bottom"/>
          </w:tcPr>
          <w:p w14:paraId="6EFDBBAC" w14:textId="77777777" w:rsidR="00854FBB" w:rsidRPr="009F36C7" w:rsidRDefault="00854FBB" w:rsidP="009F36C7">
            <w:pPr>
              <w:spacing w:after="0"/>
              <w:jc w:val="center"/>
              <w:rPr>
                <w:b/>
              </w:rPr>
            </w:pPr>
            <w:r w:rsidRPr="009F36C7">
              <w:rPr>
                <w:b/>
              </w:rPr>
              <w:t>Benefits</w:t>
            </w:r>
          </w:p>
        </w:tc>
      </w:tr>
      <w:tr w:rsidR="00854FBB" w14:paraId="54E898B0" w14:textId="77777777" w:rsidTr="009F36C7">
        <w:tc>
          <w:tcPr>
            <w:tcW w:w="1220" w:type="pct"/>
          </w:tcPr>
          <w:p w14:paraId="3272C61A" w14:textId="77777777" w:rsidR="00854FBB" w:rsidRDefault="00854FBB" w:rsidP="00272214">
            <w:r>
              <w:t xml:space="preserve">Incarcerated Adults </w:t>
            </w:r>
          </w:p>
        </w:tc>
        <w:tc>
          <w:tcPr>
            <w:tcW w:w="3780" w:type="pct"/>
          </w:tcPr>
          <w:p w14:paraId="7826AD35" w14:textId="77777777" w:rsidR="00854FBB" w:rsidRDefault="00854FBB" w:rsidP="00D20454">
            <w:pPr>
              <w:pStyle w:val="ListParagraph"/>
              <w:numPr>
                <w:ilvl w:val="0"/>
                <w:numId w:val="6"/>
              </w:numPr>
              <w:spacing w:after="120"/>
            </w:pPr>
            <w:r>
              <w:t>C</w:t>
            </w:r>
            <w:r w:rsidRPr="00854FBB">
              <w:t xml:space="preserve">ase management to address physical health, behavioral health, and </w:t>
            </w:r>
            <w:r>
              <w:t>H</w:t>
            </w:r>
            <w:r w:rsidR="00DA0CC6">
              <w:t>R</w:t>
            </w:r>
            <w:r>
              <w:t>SN</w:t>
            </w:r>
            <w:r w:rsidRPr="00854FBB">
              <w:t xml:space="preserve"> up to 60 days prior to release, and u</w:t>
            </w:r>
            <w:r>
              <w:t>p to 12 months post-release.</w:t>
            </w:r>
          </w:p>
          <w:p w14:paraId="7ECFBB51" w14:textId="77777777" w:rsidR="00854FBB" w:rsidRDefault="00854FBB" w:rsidP="00D20454">
            <w:pPr>
              <w:pStyle w:val="ListParagraph"/>
              <w:numPr>
                <w:ilvl w:val="0"/>
                <w:numId w:val="6"/>
              </w:numPr>
              <w:spacing w:after="120"/>
            </w:pPr>
            <w:r>
              <w:t>MAT</w:t>
            </w:r>
            <w:r w:rsidRPr="00854FBB">
              <w:t xml:space="preserve"> with accompanying counseling for individuals diagnosed with an SUD u</w:t>
            </w:r>
            <w:r>
              <w:t xml:space="preserve">p to 60 days prior to release. </w:t>
            </w:r>
          </w:p>
          <w:p w14:paraId="02521661" w14:textId="77777777" w:rsidR="00854FBB" w:rsidRDefault="00854FBB" w:rsidP="00D20454">
            <w:pPr>
              <w:pStyle w:val="ListParagraph"/>
              <w:numPr>
                <w:ilvl w:val="0"/>
                <w:numId w:val="6"/>
              </w:numPr>
              <w:spacing w:after="120"/>
            </w:pPr>
            <w:r w:rsidRPr="00854FBB">
              <w:t xml:space="preserve">30-day supply of all </w:t>
            </w:r>
            <w:proofErr w:type="gramStart"/>
            <w:r w:rsidRPr="00854FBB">
              <w:t>clinically</w:t>
            </w:r>
            <w:r w:rsidR="004166A7">
              <w:t>-</w:t>
            </w:r>
            <w:r w:rsidRPr="00854FBB">
              <w:t>required</w:t>
            </w:r>
            <w:proofErr w:type="gramEnd"/>
            <w:r w:rsidRPr="00854FBB">
              <w:t xml:space="preserve"> prescription medication (inclusive of </w:t>
            </w:r>
            <w:r>
              <w:t>OTC</w:t>
            </w:r>
            <w:r w:rsidRPr="00854FBB">
              <w:t xml:space="preserve"> medications) and, if applicable, a prescription/written order for </w:t>
            </w:r>
            <w:r>
              <w:t>DME immediately upon release.</w:t>
            </w:r>
          </w:p>
          <w:p w14:paraId="223135C5" w14:textId="77777777" w:rsidR="00854FBB" w:rsidRPr="00854FBB" w:rsidRDefault="00854FBB" w:rsidP="00D20454">
            <w:pPr>
              <w:pStyle w:val="ListParagraph"/>
              <w:numPr>
                <w:ilvl w:val="0"/>
                <w:numId w:val="6"/>
              </w:numPr>
              <w:spacing w:after="120"/>
            </w:pPr>
            <w:r w:rsidRPr="00854FBB">
              <w:t>RRSS for individuals diagnosed with an SUD up to 90 days post-release.</w:t>
            </w:r>
            <w:r w:rsidR="00B130AB">
              <w:t xml:space="preserve"> </w:t>
            </w:r>
          </w:p>
        </w:tc>
      </w:tr>
      <w:tr w:rsidR="00854FBB" w14:paraId="7D389A17" w14:textId="77777777" w:rsidTr="009F36C7">
        <w:tc>
          <w:tcPr>
            <w:tcW w:w="1220" w:type="pct"/>
          </w:tcPr>
          <w:p w14:paraId="7A368BC6" w14:textId="77777777" w:rsidR="00854FBB" w:rsidRDefault="00854FBB" w:rsidP="00272214">
            <w:r>
              <w:t>YDC-Placed Youth</w:t>
            </w:r>
          </w:p>
        </w:tc>
        <w:tc>
          <w:tcPr>
            <w:tcW w:w="3780" w:type="pct"/>
          </w:tcPr>
          <w:p w14:paraId="199D2417" w14:textId="77777777" w:rsidR="00854FBB" w:rsidRDefault="00854FBB" w:rsidP="00D20454">
            <w:pPr>
              <w:pStyle w:val="ListParagraph"/>
              <w:numPr>
                <w:ilvl w:val="0"/>
                <w:numId w:val="6"/>
              </w:numPr>
              <w:spacing w:after="120"/>
            </w:pPr>
            <w:r>
              <w:t>C</w:t>
            </w:r>
            <w:r w:rsidRPr="00854FBB">
              <w:t xml:space="preserve">ase management to address physical health, behavioral health, and </w:t>
            </w:r>
            <w:r>
              <w:t>HR</w:t>
            </w:r>
            <w:r w:rsidR="00DA0CC6">
              <w:t>S</w:t>
            </w:r>
            <w:r>
              <w:t>N</w:t>
            </w:r>
            <w:r w:rsidRPr="00854FBB">
              <w:t xml:space="preserve"> up to 60 days prior to release, and u</w:t>
            </w:r>
            <w:r>
              <w:t>p to 12 months post-release.</w:t>
            </w:r>
          </w:p>
          <w:p w14:paraId="3C7E5541" w14:textId="77777777" w:rsidR="00854FBB" w:rsidRDefault="00854FBB" w:rsidP="00D20454">
            <w:pPr>
              <w:pStyle w:val="ListParagraph"/>
              <w:numPr>
                <w:ilvl w:val="0"/>
                <w:numId w:val="6"/>
              </w:numPr>
              <w:spacing w:after="120"/>
            </w:pPr>
            <w:r>
              <w:t>MAT</w:t>
            </w:r>
            <w:r w:rsidRPr="00854FBB">
              <w:t xml:space="preserve"> with accompanying counseling for individuals diagnosed with an SUD u</w:t>
            </w:r>
            <w:r>
              <w:t xml:space="preserve">p to 60 days prior to release. </w:t>
            </w:r>
          </w:p>
          <w:p w14:paraId="559982B7" w14:textId="77777777" w:rsidR="00854FBB" w:rsidRPr="00854FBB" w:rsidRDefault="00854FBB" w:rsidP="00D20454">
            <w:pPr>
              <w:pStyle w:val="ListParagraph"/>
              <w:numPr>
                <w:ilvl w:val="0"/>
                <w:numId w:val="6"/>
              </w:numPr>
              <w:spacing w:after="120"/>
            </w:pPr>
            <w:r w:rsidRPr="00854FBB">
              <w:lastRenderedPageBreak/>
              <w:t xml:space="preserve">30-day supply of all </w:t>
            </w:r>
            <w:proofErr w:type="gramStart"/>
            <w:r w:rsidRPr="00854FBB">
              <w:t>clinically</w:t>
            </w:r>
            <w:r w:rsidR="004166A7">
              <w:t>-</w:t>
            </w:r>
            <w:r w:rsidRPr="00854FBB">
              <w:t>required</w:t>
            </w:r>
            <w:proofErr w:type="gramEnd"/>
            <w:r w:rsidRPr="00854FBB">
              <w:t xml:space="preserve"> prescription medication (inclusive of </w:t>
            </w:r>
            <w:r>
              <w:t>OTC</w:t>
            </w:r>
            <w:r w:rsidRPr="00854FBB">
              <w:t xml:space="preserve"> medications) and, if applicable, a prescription/written order for </w:t>
            </w:r>
            <w:r>
              <w:t>DME immediately upon release.</w:t>
            </w:r>
          </w:p>
        </w:tc>
      </w:tr>
      <w:tr w:rsidR="00854FBB" w14:paraId="76AF52C4" w14:textId="77777777" w:rsidTr="009F36C7">
        <w:tc>
          <w:tcPr>
            <w:tcW w:w="1220" w:type="pct"/>
          </w:tcPr>
          <w:p w14:paraId="7F7C6EF8" w14:textId="357DEEA1" w:rsidR="00854FBB" w:rsidRDefault="00854FBB" w:rsidP="00272214">
            <w:r>
              <w:lastRenderedPageBreak/>
              <w:t>BHCD</w:t>
            </w:r>
            <w:r w:rsidR="00C8728C">
              <w:t>P</w:t>
            </w:r>
            <w:r>
              <w:t xml:space="preserve"> Participants</w:t>
            </w:r>
          </w:p>
        </w:tc>
        <w:tc>
          <w:tcPr>
            <w:tcW w:w="3780" w:type="pct"/>
          </w:tcPr>
          <w:p w14:paraId="63BA21CB" w14:textId="77777777" w:rsidR="00854FBB" w:rsidRPr="00854FBB" w:rsidRDefault="00854FBB" w:rsidP="00D20454">
            <w:pPr>
              <w:pStyle w:val="ListParagraph"/>
              <w:numPr>
                <w:ilvl w:val="0"/>
                <w:numId w:val="7"/>
              </w:numPr>
              <w:spacing w:after="120"/>
            </w:pPr>
            <w:r w:rsidRPr="00854FBB">
              <w:t>RRSS for individuals diagnosed with an SUD up to 90 days post-release.</w:t>
            </w:r>
            <w:r w:rsidR="00B130AB">
              <w:t xml:space="preserve"> </w:t>
            </w:r>
          </w:p>
        </w:tc>
      </w:tr>
    </w:tbl>
    <w:p w14:paraId="3F072A3B" w14:textId="77777777" w:rsidR="00854FBB" w:rsidRDefault="00854FBB" w:rsidP="009965D5">
      <w:pPr>
        <w:spacing w:after="0"/>
      </w:pPr>
    </w:p>
    <w:p w14:paraId="10EBEB2F" w14:textId="1402DACE" w:rsidR="00B63EA3" w:rsidRPr="009E6DD5" w:rsidRDefault="00BE787B" w:rsidP="00272214">
      <w:r w:rsidRPr="00BE787B">
        <w:t>Note, the Commonwealth is n</w:t>
      </w:r>
      <w:r w:rsidR="004166A7">
        <w:t>either</w:t>
      </w:r>
      <w:r w:rsidRPr="00BE787B">
        <w:t xml:space="preserve"> electing </w:t>
      </w:r>
      <w:r w:rsidR="000C128B" w:rsidRPr="00BE787B">
        <w:t>benchmark-equivalent coverage for a</w:t>
      </w:r>
      <w:r w:rsidRPr="00BE787B">
        <w:t>n</w:t>
      </w:r>
      <w:r>
        <w:t>y</w:t>
      </w:r>
      <w:r w:rsidRPr="00BE787B">
        <w:t xml:space="preserve"> </w:t>
      </w:r>
      <w:r>
        <w:t>eligible</w:t>
      </w:r>
      <w:r w:rsidR="000C128B" w:rsidRPr="00BE787B">
        <w:t xml:space="preserve"> population</w:t>
      </w:r>
      <w:r w:rsidRPr="00BE787B">
        <w:t>,</w:t>
      </w:r>
      <w:r w:rsidR="000C128B" w:rsidRPr="00BE787B">
        <w:t xml:space="preserve"> </w:t>
      </w:r>
      <w:r w:rsidRPr="00BE787B">
        <w:t>nor will limitations on coverage be implemented beyond what is provided above.</w:t>
      </w:r>
      <w:r w:rsidR="00B130AB">
        <w:t xml:space="preserve"> </w:t>
      </w:r>
      <w:r w:rsidRPr="00BE787B">
        <w:t>Finally,</w:t>
      </w:r>
      <w:r>
        <w:t xml:space="preserve"> neither</w:t>
      </w:r>
      <w:r w:rsidRPr="00BE787B">
        <w:t xml:space="preserve"> </w:t>
      </w:r>
      <w:r w:rsidRPr="00854FBB">
        <w:t>long</w:t>
      </w:r>
      <w:r w:rsidR="004166A7">
        <w:t>-</w:t>
      </w:r>
      <w:r w:rsidRPr="00854FBB">
        <w:t xml:space="preserve">term </w:t>
      </w:r>
      <w:proofErr w:type="gramStart"/>
      <w:r w:rsidRPr="00854FBB">
        <w:t>services</w:t>
      </w:r>
      <w:proofErr w:type="gramEnd"/>
      <w:r w:rsidRPr="00854FBB">
        <w:t xml:space="preserve"> and supports </w:t>
      </w:r>
      <w:r>
        <w:t xml:space="preserve">or </w:t>
      </w:r>
      <w:r w:rsidR="000C128B" w:rsidRPr="00BE787B">
        <w:t xml:space="preserve">premium assistance for </w:t>
      </w:r>
      <w:r w:rsidR="00E65C10" w:rsidRPr="00BE787B">
        <w:t>employer-sponsored</w:t>
      </w:r>
      <w:r w:rsidR="000C128B" w:rsidRPr="00BE787B">
        <w:t xml:space="preserve"> coverage </w:t>
      </w:r>
      <w:r w:rsidRPr="00854FBB">
        <w:t xml:space="preserve">will be </w:t>
      </w:r>
      <w:r>
        <w:t>available</w:t>
      </w:r>
      <w:r w:rsidRPr="00854FBB">
        <w:t xml:space="preserve"> through the</w:t>
      </w:r>
      <w:r w:rsidRPr="00BE787B">
        <w:t xml:space="preserve"> </w:t>
      </w:r>
      <w:r w:rsidR="00152984">
        <w:t>Proposed Reentry Demonstration</w:t>
      </w:r>
      <w:r>
        <w:t>.</w:t>
      </w:r>
    </w:p>
    <w:p w14:paraId="45AA2412" w14:textId="77777777" w:rsidR="00B63EA3" w:rsidRPr="009E6DD5" w:rsidRDefault="000C128B" w:rsidP="009F36C7">
      <w:pPr>
        <w:pStyle w:val="Heading1"/>
      </w:pPr>
      <w:bookmarkStart w:id="21" w:name="_Toc150417367"/>
      <w:r w:rsidRPr="009E6DD5">
        <w:rPr>
          <w:u w:color="000000"/>
        </w:rPr>
        <w:t>Section IV</w:t>
      </w:r>
      <w:r w:rsidRPr="009E6DD5">
        <w:rPr>
          <w:spacing w:val="-7"/>
          <w:u w:color="000000"/>
        </w:rPr>
        <w:t xml:space="preserve"> </w:t>
      </w:r>
      <w:r w:rsidRPr="009E6DD5">
        <w:rPr>
          <w:u w:color="000000"/>
        </w:rPr>
        <w:t xml:space="preserve">– </w:t>
      </w:r>
      <w:r w:rsidRPr="009E6DD5">
        <w:rPr>
          <w:spacing w:val="-2"/>
          <w:u w:color="000000"/>
        </w:rPr>
        <w:t>Delivery</w:t>
      </w:r>
      <w:r w:rsidRPr="009E6DD5">
        <w:rPr>
          <w:u w:color="000000"/>
        </w:rPr>
        <w:t xml:space="preserve"> System</w:t>
      </w:r>
      <w:r w:rsidRPr="009E6DD5">
        <w:rPr>
          <w:spacing w:val="-9"/>
          <w:u w:color="000000"/>
        </w:rPr>
        <w:t xml:space="preserve"> </w:t>
      </w:r>
      <w:r w:rsidRPr="009E6DD5">
        <w:rPr>
          <w:u w:color="000000"/>
        </w:rPr>
        <w:t xml:space="preserve">and </w:t>
      </w:r>
      <w:r w:rsidRPr="009E6DD5">
        <w:rPr>
          <w:spacing w:val="-2"/>
          <w:u w:color="000000"/>
        </w:rPr>
        <w:t>Payment</w:t>
      </w:r>
      <w:r w:rsidRPr="009E6DD5">
        <w:rPr>
          <w:u w:color="000000"/>
        </w:rPr>
        <w:t xml:space="preserve"> </w:t>
      </w:r>
      <w:r w:rsidRPr="009E6DD5">
        <w:rPr>
          <w:spacing w:val="-2"/>
          <w:u w:color="000000"/>
        </w:rPr>
        <w:t>Rates</w:t>
      </w:r>
      <w:r w:rsidRPr="009E6DD5">
        <w:rPr>
          <w:u w:color="000000"/>
        </w:rPr>
        <w:t xml:space="preserve"> for</w:t>
      </w:r>
      <w:r w:rsidRPr="009E6DD5">
        <w:rPr>
          <w:spacing w:val="-2"/>
          <w:u w:color="000000"/>
        </w:rPr>
        <w:t xml:space="preserve"> </w:t>
      </w:r>
      <w:r w:rsidRPr="009E6DD5">
        <w:rPr>
          <w:u w:color="000000"/>
        </w:rPr>
        <w:t>Services</w:t>
      </w:r>
      <w:bookmarkEnd w:id="21"/>
    </w:p>
    <w:p w14:paraId="2B3690A5" w14:textId="6D8E1242" w:rsidR="00B63EA3" w:rsidRPr="00C07A4C" w:rsidRDefault="00922FD7" w:rsidP="00272214">
      <w:r>
        <w:t xml:space="preserve">Waiver benefits will be provided through </w:t>
      </w:r>
      <w:r w:rsidR="00DB6601">
        <w:t xml:space="preserve">the Commonwealth’s approved Medicaid </w:t>
      </w:r>
      <w:r w:rsidR="00A35A77">
        <w:t xml:space="preserve">managed care delivery system. </w:t>
      </w:r>
      <w:r>
        <w:t>S</w:t>
      </w:r>
      <w:r w:rsidR="003E5BCD">
        <w:t xml:space="preserve">ervices for </w:t>
      </w:r>
      <w:r w:rsidR="00CC3874" w:rsidRPr="00BE584B">
        <w:t>eligib</w:t>
      </w:r>
      <w:r w:rsidR="00115682" w:rsidRPr="00BE584B">
        <w:t>le</w:t>
      </w:r>
      <w:r w:rsidR="00CC3874" w:rsidRPr="00BE584B">
        <w:t xml:space="preserve"> adults </w:t>
      </w:r>
      <w:r>
        <w:t xml:space="preserve">and youth </w:t>
      </w:r>
      <w:r w:rsidR="003E5BCD">
        <w:t>will be provided through</w:t>
      </w:r>
      <w:r w:rsidR="007E1E22">
        <w:t xml:space="preserve"> Kentucky’s contracted </w:t>
      </w:r>
      <w:r w:rsidR="003E5BCD">
        <w:t>Medicaid MCOs</w:t>
      </w:r>
      <w:r>
        <w:t>.</w:t>
      </w:r>
      <w:r w:rsidR="00B130AB">
        <w:t xml:space="preserve"> </w:t>
      </w:r>
      <w:r>
        <w:t>C</w:t>
      </w:r>
      <w:r w:rsidR="003E5BCD">
        <w:t xml:space="preserve">onsistent </w:t>
      </w:r>
      <w:r w:rsidR="003E5BCD" w:rsidRPr="00922FD7">
        <w:t>with Section 1932(a)(3) of the Act and 42 C</w:t>
      </w:r>
      <w:r w:rsidR="004223E5">
        <w:t xml:space="preserve">ode of </w:t>
      </w:r>
      <w:r w:rsidR="003E5BCD" w:rsidRPr="00922FD7">
        <w:t>F</w:t>
      </w:r>
      <w:r w:rsidR="004223E5">
        <w:t xml:space="preserve">ederal </w:t>
      </w:r>
      <w:r w:rsidR="003E5BCD" w:rsidRPr="00922FD7">
        <w:t>R</w:t>
      </w:r>
      <w:r w:rsidR="004223E5">
        <w:t>egulations (CFR)</w:t>
      </w:r>
      <w:r w:rsidR="003E5BCD" w:rsidRPr="00922FD7">
        <w:t xml:space="preserve"> §438.52, participating adults will be given a choice of at least t</w:t>
      </w:r>
      <w:r w:rsidRPr="00922FD7">
        <w:t>wo entities; however, participating youth will be required to enroll with the single statewide M</w:t>
      </w:r>
      <w:r>
        <w:t>CO that manages the SKY program.</w:t>
      </w:r>
      <w:r w:rsidR="00B130AB">
        <w:t xml:space="preserve"> </w:t>
      </w:r>
      <w:r>
        <w:rPr>
          <w:spacing w:val="-1"/>
        </w:rPr>
        <w:t>Note, the SKY program provides Medicaid coverage for all c</w:t>
      </w:r>
      <w:r w:rsidRPr="00922FD7">
        <w:rPr>
          <w:spacing w:val="-1"/>
        </w:rPr>
        <w:t>hildren and foster care youth in out-of-home care, children receiving adoption assistance, youth who are dually involved, former foster care youth and Medicaid-eligible DJJ youth.</w:t>
      </w:r>
      <w:r w:rsidR="00B130AB">
        <w:t xml:space="preserve"> </w:t>
      </w:r>
      <w:r>
        <w:t xml:space="preserve">All </w:t>
      </w:r>
      <w:r w:rsidR="00177426" w:rsidRPr="00922FD7">
        <w:t>MCOs will be required to partner</w:t>
      </w:r>
      <w:r w:rsidR="001F1A2C" w:rsidRPr="00922FD7">
        <w:t xml:space="preserve"> with </w:t>
      </w:r>
      <w:proofErr w:type="gramStart"/>
      <w:r w:rsidR="001F1A2C" w:rsidRPr="00922FD7">
        <w:t>correctional facilities</w:t>
      </w:r>
      <w:proofErr w:type="gramEnd"/>
      <w:r w:rsidR="001F1A2C" w:rsidRPr="00922FD7">
        <w:t xml:space="preserve">, community-based organizations, and/or peer support agencies to meet </w:t>
      </w:r>
      <w:r w:rsidR="00BB37E7" w:rsidRPr="00922FD7">
        <w:t>projected provider need</w:t>
      </w:r>
      <w:r>
        <w:t>s</w:t>
      </w:r>
      <w:r w:rsidR="00BB37E7" w:rsidRPr="00922FD7">
        <w:t xml:space="preserve"> based on </w:t>
      </w:r>
      <w:r>
        <w:t xml:space="preserve">the </w:t>
      </w:r>
      <w:r w:rsidR="001F1A2C" w:rsidRPr="00922FD7">
        <w:t xml:space="preserve">volume of </w:t>
      </w:r>
      <w:r w:rsidR="00BB37E7" w:rsidRPr="00922FD7">
        <w:t>justice</w:t>
      </w:r>
      <w:r w:rsidR="004166A7">
        <w:t>-</w:t>
      </w:r>
      <w:r w:rsidR="00BB37E7" w:rsidRPr="00922FD7">
        <w:t xml:space="preserve">involved individuals in </w:t>
      </w:r>
      <w:r>
        <w:t>each of the waiver</w:t>
      </w:r>
      <w:r w:rsidR="00BB37E7" w:rsidRPr="00922FD7">
        <w:t xml:space="preserve"> </w:t>
      </w:r>
      <w:r>
        <w:t>eligibility groups</w:t>
      </w:r>
      <w:r w:rsidR="00781570" w:rsidRPr="00922FD7">
        <w:t>.</w:t>
      </w:r>
      <w:r w:rsidR="00B130AB">
        <w:t xml:space="preserve"> </w:t>
      </w:r>
      <w:r>
        <w:t xml:space="preserve">Further, </w:t>
      </w:r>
      <w:r w:rsidR="00177426" w:rsidRPr="00922FD7">
        <w:t xml:space="preserve">MCOs will </w:t>
      </w:r>
      <w:r>
        <w:t xml:space="preserve">be required to </w:t>
      </w:r>
      <w:r w:rsidR="00177426" w:rsidRPr="00922FD7">
        <w:t xml:space="preserve">submit data </w:t>
      </w:r>
      <w:r w:rsidR="00177426" w:rsidRPr="00C07A4C">
        <w:rPr>
          <w:spacing w:val="-1"/>
        </w:rPr>
        <w:t xml:space="preserve">to DMS </w:t>
      </w:r>
      <w:r w:rsidRPr="00C07A4C">
        <w:rPr>
          <w:spacing w:val="-1"/>
        </w:rPr>
        <w:t xml:space="preserve">to </w:t>
      </w:r>
      <w:r w:rsidR="00C07A4C" w:rsidRPr="00C07A4C">
        <w:rPr>
          <w:spacing w:val="-1"/>
        </w:rPr>
        <w:t>support monitoring of network adequacy and to ensure</w:t>
      </w:r>
      <w:r w:rsidR="008663CE">
        <w:rPr>
          <w:spacing w:val="-1"/>
        </w:rPr>
        <w:t xml:space="preserve"> </w:t>
      </w:r>
      <w:r w:rsidR="00C07A4C" w:rsidRPr="00C07A4C">
        <w:rPr>
          <w:spacing w:val="-1"/>
        </w:rPr>
        <w:t xml:space="preserve">all </w:t>
      </w:r>
      <w:r w:rsidR="00177426" w:rsidRPr="00C07A4C">
        <w:rPr>
          <w:spacing w:val="-1"/>
        </w:rPr>
        <w:t xml:space="preserve">contracted providers are </w:t>
      </w:r>
      <w:r w:rsidR="00AE55BE" w:rsidRPr="00C07A4C">
        <w:rPr>
          <w:spacing w:val="-1"/>
        </w:rPr>
        <w:t xml:space="preserve">properly credentialed and </w:t>
      </w:r>
      <w:r w:rsidR="00177426" w:rsidRPr="00C07A4C">
        <w:rPr>
          <w:spacing w:val="-1"/>
        </w:rPr>
        <w:t>enrolled in Kentucky Medicaid.</w:t>
      </w:r>
      <w:r w:rsidR="00B130AB">
        <w:rPr>
          <w:spacing w:val="-1"/>
        </w:rPr>
        <w:t xml:space="preserve"> </w:t>
      </w:r>
      <w:r w:rsidR="00C07A4C" w:rsidRPr="00C07A4C">
        <w:rPr>
          <w:spacing w:val="-1"/>
        </w:rPr>
        <w:t xml:space="preserve">Following waiver approval, </w:t>
      </w:r>
      <w:r w:rsidR="00781570" w:rsidRPr="00C07A4C">
        <w:rPr>
          <w:spacing w:val="-1"/>
        </w:rPr>
        <w:t xml:space="preserve">DMS will </w:t>
      </w:r>
      <w:r w:rsidR="00C07A4C" w:rsidRPr="00C07A4C">
        <w:rPr>
          <w:spacing w:val="-1"/>
        </w:rPr>
        <w:t xml:space="preserve">modify existing MCO contracts to align with </w:t>
      </w:r>
      <w:r w:rsidR="00B82638">
        <w:rPr>
          <w:spacing w:val="-1"/>
        </w:rPr>
        <w:t>STCs</w:t>
      </w:r>
      <w:r w:rsidR="00C07A4C" w:rsidRPr="00C07A4C">
        <w:rPr>
          <w:spacing w:val="-1"/>
        </w:rPr>
        <w:t>.</w:t>
      </w:r>
      <w:r w:rsidR="00B130AB">
        <w:rPr>
          <w:spacing w:val="-1"/>
        </w:rPr>
        <w:t xml:space="preserve"> </w:t>
      </w:r>
      <w:r w:rsidR="00C07A4C" w:rsidRPr="00C07A4C">
        <w:rPr>
          <w:spacing w:val="-1"/>
        </w:rPr>
        <w:t xml:space="preserve">Payment will be made through </w:t>
      </w:r>
      <w:r w:rsidR="00C07A4C">
        <w:rPr>
          <w:spacing w:val="-1"/>
        </w:rPr>
        <w:t>MCOs</w:t>
      </w:r>
      <w:r w:rsidR="00C07A4C" w:rsidRPr="00C07A4C">
        <w:rPr>
          <w:spacing w:val="-1"/>
        </w:rPr>
        <w:t xml:space="preserve"> on a capitated basis according to the Commonwealth’s approved methodology, and no </w:t>
      </w:r>
      <w:r w:rsidR="000C128B" w:rsidRPr="00C07A4C">
        <w:rPr>
          <w:spacing w:val="-1"/>
        </w:rPr>
        <w:t xml:space="preserve">quality-based supplemental payments </w:t>
      </w:r>
      <w:proofErr w:type="gramStart"/>
      <w:r w:rsidR="000C128B" w:rsidRPr="00C07A4C">
        <w:rPr>
          <w:spacing w:val="-1"/>
        </w:rPr>
        <w:t xml:space="preserve">are </w:t>
      </w:r>
      <w:r w:rsidR="00C07A4C" w:rsidRPr="00C07A4C">
        <w:rPr>
          <w:spacing w:val="-1"/>
        </w:rPr>
        <w:t>will be</w:t>
      </w:r>
      <w:proofErr w:type="gramEnd"/>
      <w:r w:rsidR="00C07A4C" w:rsidRPr="00C07A4C">
        <w:rPr>
          <w:spacing w:val="-1"/>
        </w:rPr>
        <w:t xml:space="preserve"> made to </w:t>
      </w:r>
      <w:r w:rsidR="000C128B" w:rsidRPr="00C07A4C">
        <w:rPr>
          <w:spacing w:val="-1"/>
        </w:rPr>
        <w:t>any providers or class of providers</w:t>
      </w:r>
      <w:r w:rsidR="00C07A4C" w:rsidRPr="00C07A4C">
        <w:rPr>
          <w:spacing w:val="-1"/>
        </w:rPr>
        <w:t>.</w:t>
      </w:r>
    </w:p>
    <w:p w14:paraId="6757D611" w14:textId="77777777" w:rsidR="00B63EA3" w:rsidRPr="009E6DD5" w:rsidRDefault="000C128B" w:rsidP="009F36C7">
      <w:pPr>
        <w:pStyle w:val="Heading1"/>
      </w:pPr>
      <w:bookmarkStart w:id="22" w:name="_Toc150417368"/>
      <w:r w:rsidRPr="009E6DD5">
        <w:rPr>
          <w:u w:color="000000"/>
        </w:rPr>
        <w:t>Section V</w:t>
      </w:r>
      <w:r w:rsidRPr="009E6DD5">
        <w:rPr>
          <w:spacing w:val="-5"/>
          <w:u w:color="000000"/>
        </w:rPr>
        <w:t xml:space="preserve"> </w:t>
      </w:r>
      <w:r w:rsidRPr="009E6DD5">
        <w:rPr>
          <w:u w:color="000000"/>
        </w:rPr>
        <w:t>–</w:t>
      </w:r>
      <w:r w:rsidRPr="009E6DD5">
        <w:rPr>
          <w:spacing w:val="-2"/>
          <w:u w:color="000000"/>
        </w:rPr>
        <w:t xml:space="preserve"> </w:t>
      </w:r>
      <w:r w:rsidRPr="009E6DD5">
        <w:rPr>
          <w:u w:color="000000"/>
        </w:rPr>
        <w:t>Implementation</w:t>
      </w:r>
      <w:r w:rsidRPr="009E6DD5">
        <w:rPr>
          <w:spacing w:val="-5"/>
          <w:u w:color="000000"/>
        </w:rPr>
        <w:t xml:space="preserve"> </w:t>
      </w:r>
      <w:r w:rsidRPr="009E6DD5">
        <w:rPr>
          <w:spacing w:val="1"/>
          <w:u w:color="000000"/>
        </w:rPr>
        <w:t>of</w:t>
      </w:r>
      <w:r w:rsidRPr="009E6DD5">
        <w:rPr>
          <w:spacing w:val="-4"/>
          <w:u w:color="000000"/>
        </w:rPr>
        <w:t xml:space="preserve"> </w:t>
      </w:r>
      <w:r w:rsidRPr="009E6DD5">
        <w:rPr>
          <w:u w:color="000000"/>
        </w:rPr>
        <w:t>Demonstration</w:t>
      </w:r>
      <w:bookmarkEnd w:id="22"/>
    </w:p>
    <w:p w14:paraId="2FBC38FF" w14:textId="17942EF5" w:rsidR="003372D7" w:rsidRDefault="00C07A4C" w:rsidP="00272214">
      <w:r w:rsidRPr="00C07A4C">
        <w:t>The Commonwealth is aware of CMS</w:t>
      </w:r>
      <w:r>
        <w:t>’</w:t>
      </w:r>
      <w:r w:rsidRPr="00C07A4C">
        <w:t xml:space="preserve"> Implementation Plan requirements and is </w:t>
      </w:r>
      <w:r w:rsidR="009931AB">
        <w:t xml:space="preserve">currently engaged in </w:t>
      </w:r>
      <w:r w:rsidRPr="00C07A4C">
        <w:t xml:space="preserve">planning activities </w:t>
      </w:r>
      <w:r w:rsidR="009931AB">
        <w:t>to support</w:t>
      </w:r>
      <w:r>
        <w:t xml:space="preserve"> </w:t>
      </w:r>
      <w:r w:rsidR="005F129F">
        <w:t xml:space="preserve">a preliminary </w:t>
      </w:r>
      <w:r w:rsidRPr="00C07A4C">
        <w:t>implementation</w:t>
      </w:r>
      <w:r>
        <w:t xml:space="preserve"> </w:t>
      </w:r>
      <w:r w:rsidR="005F129F">
        <w:t xml:space="preserve">date of </w:t>
      </w:r>
      <w:r>
        <w:t>July 1, 2025</w:t>
      </w:r>
      <w:r w:rsidRPr="00C07A4C">
        <w:t>.</w:t>
      </w:r>
      <w:r w:rsidR="00B130AB">
        <w:t xml:space="preserve"> </w:t>
      </w:r>
      <w:r>
        <w:t xml:space="preserve">In addition to leveraging the significant stakeholder engagement activities outlined in Section I.B, DMS </w:t>
      </w:r>
      <w:r w:rsidR="00D424DC" w:rsidRPr="00C07A4C">
        <w:t xml:space="preserve">will continue </w:t>
      </w:r>
      <w:r>
        <w:t xml:space="preserve">to work with key </w:t>
      </w:r>
      <w:r w:rsidR="00D60B57">
        <w:t>stakeholders</w:t>
      </w:r>
      <w:r>
        <w:t xml:space="preserve"> </w:t>
      </w:r>
      <w:r w:rsidR="00D424DC" w:rsidRPr="00C07A4C">
        <w:t>throughout the waiver negotiation period</w:t>
      </w:r>
      <w:r w:rsidR="009931AB">
        <w:t xml:space="preserve"> to </w:t>
      </w:r>
      <w:r w:rsidR="00D424DC" w:rsidRPr="00C07A4C">
        <w:t xml:space="preserve">inform planning for </w:t>
      </w:r>
      <w:r w:rsidR="009931AB">
        <w:t xml:space="preserve">regulatory, policy, process, and/or protocol changes; service delivery; </w:t>
      </w:r>
      <w:r w:rsidR="00D424DC" w:rsidRPr="00C07A4C">
        <w:t>data collection and reporting</w:t>
      </w:r>
      <w:r w:rsidR="009931AB">
        <w:t>; provider</w:t>
      </w:r>
      <w:r w:rsidR="00D424DC" w:rsidRPr="00C07A4C">
        <w:t xml:space="preserve"> standards, billing, and</w:t>
      </w:r>
      <w:r w:rsidR="009931AB">
        <w:t>/or</w:t>
      </w:r>
      <w:r w:rsidR="00D424DC" w:rsidRPr="00C07A4C">
        <w:t xml:space="preserve"> payment rate chan</w:t>
      </w:r>
      <w:r w:rsidR="009931AB">
        <w:t xml:space="preserve">ges; provider engagement and/or </w:t>
      </w:r>
      <w:r w:rsidR="00D424DC" w:rsidRPr="00C07A4C">
        <w:t>training needs</w:t>
      </w:r>
      <w:r w:rsidR="009931AB">
        <w:t>;</w:t>
      </w:r>
      <w:r w:rsidR="00D424DC" w:rsidRPr="00C07A4C">
        <w:t xml:space="preserve"> </w:t>
      </w:r>
      <w:r w:rsidR="009931AB">
        <w:t>as well as</w:t>
      </w:r>
      <w:r w:rsidR="00D424DC" w:rsidRPr="00C07A4C">
        <w:t xml:space="preserve"> </w:t>
      </w:r>
      <w:r w:rsidR="009931AB">
        <w:t>community</w:t>
      </w:r>
      <w:r w:rsidR="00D424DC" w:rsidRPr="00C07A4C">
        <w:t xml:space="preserve"> law enforcement </w:t>
      </w:r>
      <w:r w:rsidR="009931AB">
        <w:t>coordination.</w:t>
      </w:r>
      <w:r w:rsidR="00B130AB">
        <w:t xml:space="preserve"> </w:t>
      </w:r>
      <w:r w:rsidR="003372D7">
        <w:t>Below</w:t>
      </w:r>
      <w:r w:rsidR="004166A7">
        <w:t>,</w:t>
      </w:r>
      <w:r w:rsidR="003372D7">
        <w:t xml:space="preserve"> we outline the Commonwealth’s general approach to implementing the proposed waiver. </w:t>
      </w:r>
    </w:p>
    <w:p w14:paraId="62E35AE9" w14:textId="77777777" w:rsidR="003372D7" w:rsidRDefault="003372D7" w:rsidP="00D038D6">
      <w:pPr>
        <w:pStyle w:val="Heading2"/>
      </w:pPr>
      <w:bookmarkStart w:id="23" w:name="_Toc150417369"/>
      <w:r>
        <w:t>Governance</w:t>
      </w:r>
      <w:bookmarkEnd w:id="23"/>
      <w:r>
        <w:t xml:space="preserve"> </w:t>
      </w:r>
    </w:p>
    <w:p w14:paraId="47239966" w14:textId="52A23F4C" w:rsidR="003372D7" w:rsidRDefault="003372D7" w:rsidP="00272214">
      <w:r w:rsidRPr="003372D7">
        <w:t xml:space="preserve">Given the complex nature of the proposed waiver request, </w:t>
      </w:r>
      <w:r>
        <w:t xml:space="preserve">DMS recognizes that </w:t>
      </w:r>
      <w:r w:rsidRPr="003372D7">
        <w:t xml:space="preserve">multi-partner collaboration is </w:t>
      </w:r>
      <w:r>
        <w:t>essential</w:t>
      </w:r>
      <w:r w:rsidRPr="003372D7">
        <w:t xml:space="preserve"> for successful implementation.</w:t>
      </w:r>
      <w:r>
        <w:t xml:space="preserve"> </w:t>
      </w:r>
      <w:r w:rsidRPr="003372D7">
        <w:t xml:space="preserve">As a result, DMS </w:t>
      </w:r>
      <w:r w:rsidR="00576C01">
        <w:t>is</w:t>
      </w:r>
      <w:r w:rsidR="00576C01" w:rsidRPr="003372D7">
        <w:t xml:space="preserve"> </w:t>
      </w:r>
      <w:r w:rsidRPr="003372D7">
        <w:t>establish</w:t>
      </w:r>
      <w:r w:rsidR="00576C01">
        <w:t>ing</w:t>
      </w:r>
      <w:r w:rsidRPr="003372D7">
        <w:t xml:space="preserve"> a </w:t>
      </w:r>
      <w:r w:rsidRPr="003372D7">
        <w:lastRenderedPageBreak/>
        <w:t xml:space="preserve">dedicated </w:t>
      </w:r>
      <w:r>
        <w:t xml:space="preserve">implementation </w:t>
      </w:r>
      <w:r w:rsidRPr="003372D7">
        <w:t xml:space="preserve">governance structure referred to as the Kentucky Advisory and Community Collaboration for Reentry Services (ACRES). Kentucky ACRES participants </w:t>
      </w:r>
      <w:r w:rsidR="00576C01">
        <w:t xml:space="preserve">will </w:t>
      </w:r>
      <w:r w:rsidRPr="003372D7">
        <w:t>include representation from DMS and its sister agencies, as well as correctional and community partners</w:t>
      </w:r>
      <w:r w:rsidR="00107360">
        <w:t>,</w:t>
      </w:r>
      <w:r w:rsidRPr="003372D7">
        <w:t xml:space="preserve"> technology and systems advisors</w:t>
      </w:r>
      <w:r w:rsidR="00107360">
        <w:t>,</w:t>
      </w:r>
      <w:r w:rsidRPr="003372D7">
        <w:t xml:space="preserve"> advocacy groups</w:t>
      </w:r>
      <w:r w:rsidR="00107360">
        <w:t>,</w:t>
      </w:r>
      <w:r w:rsidRPr="003372D7">
        <w:t xml:space="preserve"> reentry resource centers</w:t>
      </w:r>
      <w:r w:rsidR="00107360">
        <w:t>,</w:t>
      </w:r>
      <w:r w:rsidRPr="003372D7">
        <w:t xml:space="preserve"> and individuals with lived experience.</w:t>
      </w:r>
      <w:r w:rsidR="00B130AB">
        <w:t xml:space="preserve"> </w:t>
      </w:r>
      <w:r w:rsidRPr="003372D7">
        <w:t xml:space="preserve">This group </w:t>
      </w:r>
      <w:r w:rsidR="00576C01">
        <w:t xml:space="preserve">will </w:t>
      </w:r>
      <w:r w:rsidRPr="003372D7">
        <w:t>be responsible for collectively developing and implementing the proposed waiver services, policies, processes, and system integrations.</w:t>
      </w:r>
      <w:r w:rsidR="00B130AB">
        <w:t xml:space="preserve"> </w:t>
      </w:r>
      <w:r w:rsidRPr="003372D7">
        <w:t xml:space="preserve">Further, ACRES will ensure preparedness to meet </w:t>
      </w:r>
      <w:r w:rsidR="0011491D">
        <w:t xml:space="preserve">the Proposed Reentry Demonstration’s </w:t>
      </w:r>
      <w:r w:rsidRPr="003372D7">
        <w:t xml:space="preserve">milestones and provider readiness assessment </w:t>
      </w:r>
      <w:proofErr w:type="gramStart"/>
      <w:r w:rsidRPr="003372D7">
        <w:t xml:space="preserve">requirements, </w:t>
      </w:r>
      <w:r w:rsidR="00107360">
        <w:t>and</w:t>
      </w:r>
      <w:proofErr w:type="gramEnd"/>
      <w:r w:rsidRPr="003372D7">
        <w:t xml:space="preserve"> create effective program measurement and evaluation for successful implementation and long-term sustainability.</w:t>
      </w:r>
    </w:p>
    <w:p w14:paraId="3BC0C874" w14:textId="77777777" w:rsidR="003372D7" w:rsidRPr="00E177F4" w:rsidRDefault="003372D7" w:rsidP="00272214">
      <w:r w:rsidRPr="003372D7">
        <w:t xml:space="preserve">During the implementation planning phase, DMS will </w:t>
      </w:r>
      <w:r w:rsidR="00E177F4">
        <w:t>leverage</w:t>
      </w:r>
      <w:r w:rsidRPr="003372D7">
        <w:t xml:space="preserve"> Kentucky ACRES to develop a policy </w:t>
      </w:r>
      <w:r w:rsidR="00E177F4">
        <w:t>and operational guide outlining program</w:t>
      </w:r>
      <w:r w:rsidRPr="003372D7">
        <w:t xml:space="preserve"> requirements</w:t>
      </w:r>
      <w:r w:rsidR="00E177F4">
        <w:t xml:space="preserve"> for </w:t>
      </w:r>
      <w:r w:rsidRPr="003372D7">
        <w:t>stakeholders responsible for implementing specific policies, protocols, regulations, and other operational requir</w:t>
      </w:r>
      <w:r w:rsidR="00E177F4">
        <w:t>ements.</w:t>
      </w:r>
      <w:r w:rsidR="00B130AB">
        <w:t xml:space="preserve"> </w:t>
      </w:r>
      <w:r w:rsidR="00E177F4" w:rsidRPr="00E177F4">
        <w:t>A</w:t>
      </w:r>
      <w:r w:rsidRPr="00E177F4">
        <w:t xml:space="preserve">dditional materials will be developed to drive awareness and ensure effective streams of communication exist among </w:t>
      </w:r>
      <w:r w:rsidR="00E177F4" w:rsidRPr="00E177F4">
        <w:t xml:space="preserve">state agencies, MCOs, case managers, providers, </w:t>
      </w:r>
      <w:r w:rsidRPr="00E177F4">
        <w:t>community</w:t>
      </w:r>
      <w:r w:rsidR="00E177F4" w:rsidRPr="00E177F4">
        <w:t>-based organizations</w:t>
      </w:r>
      <w:r w:rsidRPr="00E177F4">
        <w:t xml:space="preserve">, </w:t>
      </w:r>
      <w:r w:rsidR="00E177F4" w:rsidRPr="00E177F4">
        <w:t>as well as</w:t>
      </w:r>
      <w:r w:rsidRPr="00E177F4">
        <w:t xml:space="preserve"> justice-involved individuals and their families and</w:t>
      </w:r>
      <w:r w:rsidR="00E177F4" w:rsidRPr="00E177F4">
        <w:t>/or</w:t>
      </w:r>
      <w:r w:rsidRPr="00E177F4">
        <w:t xml:space="preserve"> support networks.</w:t>
      </w:r>
      <w:r w:rsidR="00B130AB">
        <w:t xml:space="preserve"> </w:t>
      </w:r>
      <w:r w:rsidRPr="00E177F4">
        <w:t xml:space="preserve">Examples of such materials </w:t>
      </w:r>
      <w:r w:rsidR="00E177F4" w:rsidRPr="00E177F4">
        <w:t>include, but are not limited to,</w:t>
      </w:r>
      <w:r w:rsidRPr="00E177F4">
        <w:t xml:space="preserve"> implementation guides for </w:t>
      </w:r>
      <w:r w:rsidR="00E177F4" w:rsidRPr="00E177F4">
        <w:t>providers, readiness assessment</w:t>
      </w:r>
      <w:r w:rsidRPr="00E177F4">
        <w:t xml:space="preserve"> frameworks for </w:t>
      </w:r>
      <w:proofErr w:type="gramStart"/>
      <w:r w:rsidRPr="00E177F4">
        <w:t>correctional facilities</w:t>
      </w:r>
      <w:proofErr w:type="gramEnd"/>
      <w:r w:rsidRPr="00E177F4">
        <w:t xml:space="preserve"> and community-based organizations, and a reentry planning toolkit for </w:t>
      </w:r>
      <w:r w:rsidR="00E177F4" w:rsidRPr="00E177F4">
        <w:t>individuals reentering the community.</w:t>
      </w:r>
      <w:r w:rsidR="00B130AB">
        <w:t xml:space="preserve"> </w:t>
      </w:r>
      <w:r w:rsidRPr="00E177F4">
        <w:t xml:space="preserve">The toolkit will </w:t>
      </w:r>
      <w:r w:rsidR="005F129F">
        <w:t xml:space="preserve">expand upon the current reentry </w:t>
      </w:r>
      <w:r w:rsidR="00447651">
        <w:t>packet</w:t>
      </w:r>
      <w:r w:rsidR="005F129F">
        <w:t xml:space="preserve"> </w:t>
      </w:r>
      <w:r w:rsidR="00447651">
        <w:t xml:space="preserve">produced </w:t>
      </w:r>
      <w:r w:rsidR="005F129F">
        <w:t xml:space="preserve">by the Kentucky </w:t>
      </w:r>
      <w:r w:rsidR="00447651">
        <w:t xml:space="preserve">Department for </w:t>
      </w:r>
      <w:r w:rsidR="005F129F">
        <w:t xml:space="preserve">Public </w:t>
      </w:r>
      <w:r w:rsidR="00447651">
        <w:t xml:space="preserve">Health </w:t>
      </w:r>
      <w:r w:rsidR="005F129F">
        <w:t xml:space="preserve">and DOC. The toolkit will </w:t>
      </w:r>
      <w:r w:rsidRPr="00E177F4">
        <w:t xml:space="preserve">be provided by the </w:t>
      </w:r>
      <w:r w:rsidR="00E177F4" w:rsidRPr="00E177F4">
        <w:t>individual’s</w:t>
      </w:r>
      <w:r w:rsidRPr="00E177F4">
        <w:t xml:space="preserve"> case manager and </w:t>
      </w:r>
      <w:r w:rsidR="00E177F4" w:rsidRPr="00E177F4">
        <w:t xml:space="preserve">will </w:t>
      </w:r>
      <w:r w:rsidRPr="00E177F4">
        <w:t>contain important information, practical tools associated with care, action steps, and other relevant resources regarding health care benefits, housing, employment, obtaining basic forms of identification, etc.</w:t>
      </w:r>
    </w:p>
    <w:p w14:paraId="6DD6E148" w14:textId="77777777" w:rsidR="009931AB" w:rsidRDefault="00E177F4" w:rsidP="00D038D6">
      <w:pPr>
        <w:pStyle w:val="Heading2"/>
      </w:pPr>
      <w:bookmarkStart w:id="24" w:name="_Toc150417370"/>
      <w:r>
        <w:t>Notification and Enrollment</w:t>
      </w:r>
      <w:bookmarkEnd w:id="24"/>
    </w:p>
    <w:p w14:paraId="678D6A82" w14:textId="77777777" w:rsidR="009931AB" w:rsidRDefault="009931AB" w:rsidP="00272214">
      <w:r w:rsidRPr="00854FBB">
        <w:t xml:space="preserve">DMS will leverage </w:t>
      </w:r>
      <w:proofErr w:type="spellStart"/>
      <w:r w:rsidRPr="00854FBB">
        <w:t>Kynectors</w:t>
      </w:r>
      <w:proofErr w:type="spellEnd"/>
      <w:r>
        <w:t xml:space="preserve">, which are </w:t>
      </w:r>
      <w:r w:rsidRPr="00854FBB">
        <w:t>authorized benefits representatives</w:t>
      </w:r>
      <w:r>
        <w:t xml:space="preserve">, </w:t>
      </w:r>
      <w:r w:rsidR="00E177F4">
        <w:t>to notify and enroll individuals into the waiver</w:t>
      </w:r>
      <w:r w:rsidRPr="00854FBB">
        <w:t>.</w:t>
      </w:r>
      <w:r w:rsidR="00B130AB">
        <w:t xml:space="preserve"> </w:t>
      </w:r>
      <w:proofErr w:type="spellStart"/>
      <w:r w:rsidRPr="00854FBB">
        <w:t>Kynectors</w:t>
      </w:r>
      <w:proofErr w:type="spellEnd"/>
      <w:r w:rsidRPr="00854FBB">
        <w:t xml:space="preserve"> will assess individuals’ Medicaid enrollment status at </w:t>
      </w:r>
      <w:r w:rsidR="00FD1DD3">
        <w:t xml:space="preserve">the </w:t>
      </w:r>
      <w:r w:rsidRPr="00854FBB">
        <w:t>time of incarceration and, where necessary, support the individual through the application process.</w:t>
      </w:r>
      <w:r w:rsidR="00B130AB">
        <w:t xml:space="preserve"> </w:t>
      </w:r>
      <w:r w:rsidRPr="00854FBB">
        <w:t>Individuals enrolled in Medicaid and assigned to an MCO prior to placement in a state prison or YDC will have their enrollment suspended and will maintain the same MCO when pre-release services begin.</w:t>
      </w:r>
      <w:r w:rsidR="00B130AB">
        <w:t xml:space="preserve"> </w:t>
      </w:r>
      <w:r w:rsidRPr="00854FBB">
        <w:t>Newly Medicaid</w:t>
      </w:r>
      <w:r w:rsidR="006C4211">
        <w:t>-</w:t>
      </w:r>
      <w:r w:rsidRPr="00854FBB">
        <w:t>eligible adults will be able to pre-select their MCO at the time of incarceration.</w:t>
      </w:r>
      <w:r w:rsidR="00B130AB">
        <w:t xml:space="preserve"> </w:t>
      </w:r>
      <w:r w:rsidRPr="00854FBB">
        <w:t xml:space="preserve">Note, if </w:t>
      </w:r>
      <w:r w:rsidR="007E566C" w:rsidRPr="00854FBB">
        <w:t>an</w:t>
      </w:r>
      <w:r w:rsidRPr="00854FBB">
        <w:t xml:space="preserve"> YDC</w:t>
      </w:r>
      <w:r>
        <w:t>-</w:t>
      </w:r>
      <w:r w:rsidR="006C4211">
        <w:t>p</w:t>
      </w:r>
      <w:r w:rsidRPr="00854FBB">
        <w:t xml:space="preserve">laced </w:t>
      </w:r>
      <w:r w:rsidR="006C4211">
        <w:t>y</w:t>
      </w:r>
      <w:r w:rsidRPr="00854FBB">
        <w:t>outh is determined to be a Medicaid member prior to placement, regardless of their prior MCO membership, they will receive benefits through the single statewide MCO that manages the SKY program.</w:t>
      </w:r>
    </w:p>
    <w:p w14:paraId="373BF809" w14:textId="77777777" w:rsidR="009931AB" w:rsidRDefault="009931AB" w:rsidP="00D038D6">
      <w:pPr>
        <w:pStyle w:val="Heading2"/>
      </w:pPr>
      <w:bookmarkStart w:id="25" w:name="_Toc150417371"/>
      <w:r w:rsidRPr="0054549A">
        <w:t xml:space="preserve">Screening for </w:t>
      </w:r>
      <w:r>
        <w:t>Services</w:t>
      </w:r>
      <w:bookmarkEnd w:id="25"/>
    </w:p>
    <w:p w14:paraId="12A73FF3" w14:textId="77777777" w:rsidR="009931AB" w:rsidRPr="007E1E22" w:rsidRDefault="009931AB" w:rsidP="00272214">
      <w:r w:rsidRPr="007E1E22">
        <w:t xml:space="preserve">For </w:t>
      </w:r>
      <w:r w:rsidR="006C4211">
        <w:t>i</w:t>
      </w:r>
      <w:r>
        <w:t xml:space="preserve">ncarcerated </w:t>
      </w:r>
      <w:r w:rsidR="006C4211">
        <w:t>a</w:t>
      </w:r>
      <w:r>
        <w:t>dults</w:t>
      </w:r>
      <w:r w:rsidRPr="007E1E22">
        <w:t xml:space="preserve">, DOC </w:t>
      </w:r>
      <w:r>
        <w:t>staff will administer an HRA upon intake</w:t>
      </w:r>
      <w:r w:rsidRPr="007E1E22">
        <w:t xml:space="preserve"> to assess the individual’s physical and behavioral health status, identify </w:t>
      </w:r>
      <w:r>
        <w:t>HRSNs,</w:t>
      </w:r>
      <w:r w:rsidRPr="007E1E22">
        <w:t xml:space="preserve"> and determine eligibility for enhanced SUD diagnosis-related services.</w:t>
      </w:r>
      <w:r w:rsidR="00B130AB">
        <w:t xml:space="preserve"> </w:t>
      </w:r>
      <w:r w:rsidRPr="007E1E22">
        <w:t xml:space="preserve">For </w:t>
      </w:r>
      <w:r>
        <w:t>YDC-</w:t>
      </w:r>
      <w:r w:rsidR="006C4211">
        <w:t>p</w:t>
      </w:r>
      <w:r>
        <w:t xml:space="preserve">laced </w:t>
      </w:r>
      <w:r w:rsidR="006C4211">
        <w:t>y</w:t>
      </w:r>
      <w:r>
        <w:t xml:space="preserve">outh, DJJ staff will administer the </w:t>
      </w:r>
      <w:r w:rsidRPr="007E1E22">
        <w:t xml:space="preserve">Massachusetts Youth Screening Instrument </w:t>
      </w:r>
      <w:r>
        <w:t xml:space="preserve">upon intake </w:t>
      </w:r>
      <w:r w:rsidRPr="007E1E22">
        <w:t xml:space="preserve">to assess </w:t>
      </w:r>
      <w:r>
        <w:t xml:space="preserve">the individual’s </w:t>
      </w:r>
      <w:r w:rsidRPr="007E1E22">
        <w:t>substance use, mental health issues, and trauma</w:t>
      </w:r>
      <w:r>
        <w:t xml:space="preserve">, as well as the </w:t>
      </w:r>
      <w:r w:rsidRPr="007E1E22">
        <w:t xml:space="preserve">Youth Assessment and Screening Instrument to validate </w:t>
      </w:r>
      <w:r>
        <w:t>the individual’s</w:t>
      </w:r>
      <w:r w:rsidRPr="007E1E22">
        <w:t xml:space="preserve"> risk, school and family-related issues, community supports and needs, and treatment and aftercare planning.</w:t>
      </w:r>
      <w:r w:rsidR="00B130AB">
        <w:t xml:space="preserve"> </w:t>
      </w:r>
      <w:r>
        <w:t>YDC-</w:t>
      </w:r>
      <w:r w:rsidR="006C4211">
        <w:t>p</w:t>
      </w:r>
      <w:r>
        <w:t xml:space="preserve">laced </w:t>
      </w:r>
      <w:r w:rsidR="006C4211">
        <w:t>y</w:t>
      </w:r>
      <w:r>
        <w:t xml:space="preserve">outh will also be screened by DJJ medical and treatment providers upon intake, </w:t>
      </w:r>
      <w:r w:rsidRPr="007E1E22">
        <w:t xml:space="preserve">and </w:t>
      </w:r>
      <w:r>
        <w:t>t</w:t>
      </w:r>
      <w:r w:rsidRPr="007E1E22">
        <w:t xml:space="preserve">hose currently </w:t>
      </w:r>
      <w:r>
        <w:t xml:space="preserve">identified as being prescribed </w:t>
      </w:r>
      <w:r w:rsidRPr="007E1E22">
        <w:t xml:space="preserve">psychotropic medication prior to intake will be seen by a psychiatrist and receive a mental health </w:t>
      </w:r>
      <w:r w:rsidRPr="007E1E22">
        <w:lastRenderedPageBreak/>
        <w:t>evaluation by a licensed professional.</w:t>
      </w:r>
      <w:r w:rsidR="00B130AB">
        <w:t xml:space="preserve"> </w:t>
      </w:r>
    </w:p>
    <w:p w14:paraId="354CF61D" w14:textId="77777777" w:rsidR="009931AB" w:rsidRDefault="00A44117" w:rsidP="00D038D6">
      <w:pPr>
        <w:pStyle w:val="Heading2"/>
      </w:pPr>
      <w:bookmarkStart w:id="26" w:name="_Toc150417372"/>
      <w:r>
        <w:t>Service Delivery</w:t>
      </w:r>
      <w:bookmarkEnd w:id="26"/>
      <w:r>
        <w:t xml:space="preserve"> </w:t>
      </w:r>
    </w:p>
    <w:p w14:paraId="648A9026" w14:textId="1872E893" w:rsidR="009931AB" w:rsidRDefault="009931AB" w:rsidP="00272214">
      <w:r w:rsidRPr="0054549A">
        <w:t>DMS</w:t>
      </w:r>
      <w:r>
        <w:t xml:space="preserve"> </w:t>
      </w:r>
      <w:r w:rsidRPr="0054549A">
        <w:t xml:space="preserve">will establish policies and </w:t>
      </w:r>
      <w:r>
        <w:t>procedures</w:t>
      </w:r>
      <w:r w:rsidRPr="0054549A">
        <w:t xml:space="preserve"> to deliver the full scope of covered </w:t>
      </w:r>
      <w:proofErr w:type="gramStart"/>
      <w:r w:rsidR="00A44117">
        <w:t>pre</w:t>
      </w:r>
      <w:proofErr w:type="gramEnd"/>
      <w:r w:rsidR="00A44117">
        <w:t xml:space="preserve"> and post-release </w:t>
      </w:r>
      <w:r>
        <w:t xml:space="preserve">services including, but not limited to, </w:t>
      </w:r>
      <w:r w:rsidRPr="0054549A">
        <w:t>assignment of a</w:t>
      </w:r>
      <w:r>
        <w:t>n</w:t>
      </w:r>
      <w:r w:rsidRPr="0054549A">
        <w:t xml:space="preserve"> MCO </w:t>
      </w:r>
      <w:r>
        <w:t>c</w:t>
      </w:r>
      <w:r w:rsidRPr="0054549A">
        <w:t xml:space="preserve">ase </w:t>
      </w:r>
      <w:r>
        <w:t>ma</w:t>
      </w:r>
      <w:r w:rsidRPr="0054549A">
        <w:t>nager, case management services, creation of person-centered Reentry Care Plan, and MAT services for those with an SUD diagnosis.</w:t>
      </w:r>
      <w:r w:rsidR="00B130AB">
        <w:t xml:space="preserve"> </w:t>
      </w:r>
      <w:r>
        <w:t>Policies and procedures w</w:t>
      </w:r>
      <w:r w:rsidRPr="0054549A">
        <w:t xml:space="preserve">ill also ensure </w:t>
      </w:r>
      <w:r>
        <w:t>individuals are provided</w:t>
      </w:r>
      <w:r w:rsidRPr="0054549A">
        <w:t xml:space="preserve"> </w:t>
      </w:r>
      <w:r w:rsidRPr="00250912">
        <w:t xml:space="preserve">a 30-day supply of all </w:t>
      </w:r>
      <w:proofErr w:type="gramStart"/>
      <w:r w:rsidRPr="00250912">
        <w:t>clinically</w:t>
      </w:r>
      <w:r w:rsidR="006C4211">
        <w:t>-</w:t>
      </w:r>
      <w:r w:rsidRPr="00250912">
        <w:t>required</w:t>
      </w:r>
      <w:proofErr w:type="gramEnd"/>
      <w:r w:rsidRPr="00250912">
        <w:t xml:space="preserve"> prescription medication (inclusive of </w:t>
      </w:r>
      <w:r>
        <w:t>OTC</w:t>
      </w:r>
      <w:r w:rsidRPr="00250912">
        <w:t xml:space="preserve"> medications) and, if applicable, a prescription/written order for </w:t>
      </w:r>
      <w:r>
        <w:t>DME</w:t>
      </w:r>
      <w:r w:rsidRPr="00250912">
        <w:t xml:space="preserve"> immediately upon release</w:t>
      </w:r>
      <w:r>
        <w:t>.</w:t>
      </w:r>
      <w:r w:rsidR="00B130AB">
        <w:t xml:space="preserve"> </w:t>
      </w:r>
      <w:r w:rsidRPr="0054549A">
        <w:t xml:space="preserve">For both </w:t>
      </w:r>
      <w:r>
        <w:t>eligibility groups</w:t>
      </w:r>
      <w:r w:rsidRPr="0054549A">
        <w:t xml:space="preserve">, </w:t>
      </w:r>
      <w:r w:rsidR="003372D7">
        <w:t>medications</w:t>
      </w:r>
      <w:r w:rsidRPr="0054549A">
        <w:t xml:space="preserve"> will be filled by</w:t>
      </w:r>
      <w:r w:rsidR="00447651">
        <w:t xml:space="preserve"> the pharmacy contracted with DOC</w:t>
      </w:r>
      <w:r w:rsidRPr="0054549A">
        <w:t>, a Kentucky Medicaid-enrolled provider.</w:t>
      </w:r>
      <w:r w:rsidR="00B130AB">
        <w:t xml:space="preserve"> </w:t>
      </w:r>
      <w:r w:rsidR="00A44117">
        <w:t xml:space="preserve">DMS will ensure continuity of case management by allowing individuals to maintain established provider relationships or by facilitating </w:t>
      </w:r>
      <w:r w:rsidR="00A44117" w:rsidRPr="00A44117">
        <w:t>warm handoffs</w:t>
      </w:r>
      <w:r w:rsidR="003372D7">
        <w:t>.</w:t>
      </w:r>
      <w:r w:rsidR="00B130AB">
        <w:t xml:space="preserve"> </w:t>
      </w:r>
      <w:proofErr w:type="gramStart"/>
      <w:r w:rsidR="00BD5200">
        <w:t>In an effort to</w:t>
      </w:r>
      <w:proofErr w:type="gramEnd"/>
      <w:r w:rsidR="00BD5200">
        <w:t xml:space="preserve"> sustain recovery, RRSS </w:t>
      </w:r>
      <w:r w:rsidR="00576C01">
        <w:t>wil</w:t>
      </w:r>
      <w:r w:rsidR="00BD5200">
        <w:t xml:space="preserve">l be aligned with </w:t>
      </w:r>
      <w:r w:rsidR="00576C01">
        <w:t xml:space="preserve">the </w:t>
      </w:r>
      <w:r w:rsidR="00BD5200">
        <w:t>appropriate ASAM</w:t>
      </w:r>
      <w:r w:rsidR="00576C01">
        <w:t xml:space="preserve"> c</w:t>
      </w:r>
      <w:r w:rsidR="00BD5200">
        <w:t>riteria and National Alliance for Recovery Residences</w:t>
      </w:r>
      <w:r w:rsidR="00C21515">
        <w:t>-</w:t>
      </w:r>
      <w:r w:rsidR="00BD5200">
        <w:t xml:space="preserve">level requirements to </w:t>
      </w:r>
      <w:r w:rsidR="00AC0198">
        <w:t>suppor</w:t>
      </w:r>
      <w:r w:rsidR="000B30BA">
        <w:t>t</w:t>
      </w:r>
      <w:r w:rsidR="00AC0198">
        <w:t xml:space="preserve"> </w:t>
      </w:r>
      <w:r w:rsidR="00BD5200">
        <w:t>long-term success of individuals with SUD</w:t>
      </w:r>
      <w:r w:rsidR="003372D7">
        <w:t>.</w:t>
      </w:r>
    </w:p>
    <w:p w14:paraId="60038A93" w14:textId="77777777" w:rsidR="009931AB" w:rsidRDefault="009931AB" w:rsidP="00D038D6">
      <w:pPr>
        <w:pStyle w:val="Heading2"/>
      </w:pPr>
      <w:bookmarkStart w:id="27" w:name="_Toc150417373"/>
      <w:r w:rsidRPr="00250912">
        <w:t>Technology and Data Exchange</w:t>
      </w:r>
      <w:bookmarkEnd w:id="27"/>
      <w:r w:rsidRPr="00250912">
        <w:t xml:space="preserve"> </w:t>
      </w:r>
    </w:p>
    <w:p w14:paraId="02E81CDF" w14:textId="6837CD9E" w:rsidR="009931AB" w:rsidRPr="00250912" w:rsidRDefault="009931AB" w:rsidP="00272214">
      <w:r>
        <w:t xml:space="preserve">DMS will develop and implement </w:t>
      </w:r>
      <w:r w:rsidR="003372D7">
        <w:t xml:space="preserve">a </w:t>
      </w:r>
      <w:r w:rsidR="003372D7" w:rsidRPr="003372D7">
        <w:t xml:space="preserve">shared infrastructure integrating processes and systems </w:t>
      </w:r>
      <w:r w:rsidR="000505E1">
        <w:t>among</w:t>
      </w:r>
      <w:r w:rsidR="000505E1" w:rsidRPr="003372D7">
        <w:t xml:space="preserve"> </w:t>
      </w:r>
      <w:r w:rsidR="003372D7" w:rsidRPr="003372D7">
        <w:t xml:space="preserve">agencies, correctional facilities, and community-based partners </w:t>
      </w:r>
      <w:r w:rsidRPr="00250912">
        <w:t>to document, capture, and exchange relevant administrative, member</w:t>
      </w:r>
      <w:r>
        <w:t>,</w:t>
      </w:r>
      <w:r w:rsidRPr="00250912">
        <w:t xml:space="preserve"> and provider-related data</w:t>
      </w:r>
      <w:r>
        <w:t xml:space="preserve">; </w:t>
      </w:r>
      <w:r w:rsidR="003372D7">
        <w:t xml:space="preserve">determine Medicaid eligibility; </w:t>
      </w:r>
      <w:r>
        <w:t xml:space="preserve">enroll members; conduct </w:t>
      </w:r>
      <w:r w:rsidRPr="00250912">
        <w:t>health screenings</w:t>
      </w:r>
      <w:r>
        <w:t>; share</w:t>
      </w:r>
      <w:r w:rsidRPr="00250912">
        <w:t xml:space="preserve"> </w:t>
      </w:r>
      <w:r>
        <w:t>Re</w:t>
      </w:r>
      <w:r w:rsidRPr="00250912">
        <w:t>entr</w:t>
      </w:r>
      <w:r>
        <w:t>y Care Plans;</w:t>
      </w:r>
      <w:r w:rsidRPr="00250912">
        <w:t xml:space="preserve"> </w:t>
      </w:r>
      <w:r>
        <w:t>assess</w:t>
      </w:r>
      <w:r w:rsidRPr="00250912">
        <w:t xml:space="preserve"> health outcomes</w:t>
      </w:r>
      <w:r>
        <w:t>;</w:t>
      </w:r>
      <w:r w:rsidRPr="00250912">
        <w:t xml:space="preserve"> </w:t>
      </w:r>
      <w:r>
        <w:t>provide</w:t>
      </w:r>
      <w:r w:rsidRPr="00250912">
        <w:t xml:space="preserve"> </w:t>
      </w:r>
      <w:r>
        <w:t>pre</w:t>
      </w:r>
      <w:r w:rsidR="0077642A">
        <w:t>-</w:t>
      </w:r>
      <w:r w:rsidRPr="00250912">
        <w:t xml:space="preserve"> and post-release services and service activation codes</w:t>
      </w:r>
      <w:r>
        <w:t>;</w:t>
      </w:r>
      <w:r w:rsidRPr="00250912">
        <w:t xml:space="preserve"> </w:t>
      </w:r>
      <w:r>
        <w:t>enable</w:t>
      </w:r>
      <w:r w:rsidRPr="00250912">
        <w:t xml:space="preserve"> provider enrollment and credentialing</w:t>
      </w:r>
      <w:r>
        <w:t>;</w:t>
      </w:r>
      <w:r w:rsidRPr="00250912">
        <w:t xml:space="preserve"> </w:t>
      </w:r>
      <w:r>
        <w:t>and provide oversight and monitoring</w:t>
      </w:r>
      <w:r w:rsidR="003372D7">
        <w:t>.</w:t>
      </w:r>
      <w:r w:rsidR="00B130AB">
        <w:t xml:space="preserve"> </w:t>
      </w:r>
      <w:r w:rsidR="003372D7">
        <w:t xml:space="preserve">Regarding the latter, </w:t>
      </w:r>
      <w:r w:rsidR="003372D7" w:rsidRPr="003372D7">
        <w:t>activities</w:t>
      </w:r>
      <w:r w:rsidR="003372D7">
        <w:t xml:space="preserve"> will</w:t>
      </w:r>
      <w:r w:rsidR="003372D7" w:rsidRPr="003372D7">
        <w:t xml:space="preserve"> include data collection, reporting</w:t>
      </w:r>
      <w:r w:rsidR="003372D7">
        <w:t>,</w:t>
      </w:r>
      <w:r w:rsidR="003372D7" w:rsidRPr="003372D7">
        <w:t xml:space="preserve"> and analysis to</w:t>
      </w:r>
      <w:r w:rsidR="003372D7">
        <w:t xml:space="preserve"> measure progress toward achievement of </w:t>
      </w:r>
      <w:r w:rsidR="0011491D">
        <w:t>the Proposed Reentry Demonstration’s</w:t>
      </w:r>
      <w:r w:rsidR="00AC0198">
        <w:t xml:space="preserve"> </w:t>
      </w:r>
      <w:r w:rsidR="003372D7" w:rsidRPr="003372D7">
        <w:t xml:space="preserve">hypotheses and ensure milestones are met for long-term </w:t>
      </w:r>
      <w:r w:rsidR="003372D7">
        <w:t>success.</w:t>
      </w:r>
    </w:p>
    <w:p w14:paraId="1DA846F8" w14:textId="77777777" w:rsidR="00CD7EF6" w:rsidRDefault="00CD7EF6" w:rsidP="00D038D6">
      <w:pPr>
        <w:pStyle w:val="Heading2"/>
      </w:pPr>
      <w:bookmarkStart w:id="28" w:name="_Toc150417374"/>
      <w:r>
        <w:t>Readiness Review</w:t>
      </w:r>
      <w:bookmarkEnd w:id="28"/>
    </w:p>
    <w:p w14:paraId="5BB75529" w14:textId="6A046BAC" w:rsidR="000C680C" w:rsidRDefault="004B098F" w:rsidP="009F36C7">
      <w:r>
        <w:t xml:space="preserve">DMS will implement </w:t>
      </w:r>
      <w:r w:rsidR="00576C01">
        <w:t>a</w:t>
      </w:r>
      <w:r>
        <w:t xml:space="preserve"> readiness </w:t>
      </w:r>
      <w:r w:rsidR="00576C01">
        <w:t xml:space="preserve">review process </w:t>
      </w:r>
      <w:r>
        <w:t xml:space="preserve">to ensure </w:t>
      </w:r>
      <w:r w:rsidR="00A842F9">
        <w:t xml:space="preserve">all </w:t>
      </w:r>
      <w:r w:rsidR="00C8594A">
        <w:t>participating</w:t>
      </w:r>
      <w:r w:rsidR="00A842F9">
        <w:t xml:space="preserve"> </w:t>
      </w:r>
      <w:r w:rsidR="00C8594A">
        <w:t>carceral settings,</w:t>
      </w:r>
      <w:r w:rsidR="00A842F9">
        <w:t xml:space="preserve"> state agencies, </w:t>
      </w:r>
      <w:r w:rsidR="00C8594A">
        <w:t xml:space="preserve">MCOs, </w:t>
      </w:r>
      <w:r w:rsidR="00A842F9">
        <w:t>community organizations</w:t>
      </w:r>
      <w:r w:rsidR="00C8594A">
        <w:t xml:space="preserve">, </w:t>
      </w:r>
      <w:r w:rsidR="00A842F9">
        <w:t xml:space="preserve">and other providers </w:t>
      </w:r>
      <w:r w:rsidR="00C8594A">
        <w:t>are prepared</w:t>
      </w:r>
      <w:r w:rsidR="00A842F9">
        <w:t xml:space="preserve"> to </w:t>
      </w:r>
      <w:r>
        <w:t xml:space="preserve">participate in the </w:t>
      </w:r>
      <w:r w:rsidR="00C8594A">
        <w:t xml:space="preserve">waiver </w:t>
      </w:r>
      <w:r>
        <w:t>provid</w:t>
      </w:r>
      <w:r w:rsidR="00C8594A">
        <w:t>ing</w:t>
      </w:r>
      <w:r>
        <w:t xml:space="preserve"> </w:t>
      </w:r>
      <w:r w:rsidR="00A842F9">
        <w:t xml:space="preserve">relevant </w:t>
      </w:r>
      <w:r>
        <w:t xml:space="preserve">services </w:t>
      </w:r>
      <w:r w:rsidR="00C8594A">
        <w:t>to waiver participants.</w:t>
      </w:r>
      <w:r w:rsidR="00B130AB">
        <w:t xml:space="preserve"> </w:t>
      </w:r>
      <w:r w:rsidR="00C8594A">
        <w:t xml:space="preserve">As part of the </w:t>
      </w:r>
      <w:r w:rsidR="0011491D">
        <w:t xml:space="preserve">Proposed Reentry Demonstration </w:t>
      </w:r>
      <w:r w:rsidR="00C8594A">
        <w:t>implementation plan, DMS will develop a specified timeframe to allow for</w:t>
      </w:r>
      <w:r>
        <w:t xml:space="preserve"> review </w:t>
      </w:r>
      <w:r w:rsidR="001A07C5">
        <w:t xml:space="preserve">the </w:t>
      </w:r>
      <w:r w:rsidR="00C8594A">
        <w:t xml:space="preserve">readiness </w:t>
      </w:r>
      <w:r w:rsidR="001A07C5">
        <w:t>assessments and allow for adjustments, if and where necessary</w:t>
      </w:r>
      <w:r>
        <w:t>.</w:t>
      </w:r>
      <w:r w:rsidR="00B130AB">
        <w:t xml:space="preserve"> </w:t>
      </w:r>
      <w:r w:rsidR="00C8594A">
        <w:t>Participating carceral settings</w:t>
      </w:r>
      <w:r w:rsidR="00A30CBC">
        <w:t xml:space="preserve"> will be asked to outline their approach for meeting readiness requirements prior </w:t>
      </w:r>
      <w:r w:rsidR="001A07C5">
        <w:t>to</w:t>
      </w:r>
      <w:r w:rsidR="000505E1">
        <w:t>,</w:t>
      </w:r>
      <w:r w:rsidR="001A07C5">
        <w:t xml:space="preserve"> </w:t>
      </w:r>
      <w:r w:rsidR="00A30CBC">
        <w:t>or within a specified timeframe after the planned program implementation date.</w:t>
      </w:r>
      <w:r w:rsidR="00B130AB">
        <w:t xml:space="preserve"> </w:t>
      </w:r>
    </w:p>
    <w:p w14:paraId="234AF82A" w14:textId="77777777" w:rsidR="004B098F" w:rsidRDefault="00A30CBC" w:rsidP="009F36C7">
      <w:r>
        <w:t xml:space="preserve">DMS anticipates </w:t>
      </w:r>
      <w:r w:rsidR="00C8594A">
        <w:t>developing</w:t>
      </w:r>
      <w:r>
        <w:t xml:space="preserve"> a readiness assessment tool </w:t>
      </w:r>
      <w:r w:rsidR="00C8594A">
        <w:t xml:space="preserve">to collect </w:t>
      </w:r>
      <w:r w:rsidR="001A07C5">
        <w:t xml:space="preserve">relevant </w:t>
      </w:r>
      <w:r w:rsidR="00C8594A">
        <w:t xml:space="preserve">data and/or attestations of </w:t>
      </w:r>
      <w:r>
        <w:t xml:space="preserve">readiness in </w:t>
      </w:r>
      <w:r w:rsidR="00C8594A">
        <w:t xml:space="preserve">key areas including, but not limited to, </w:t>
      </w:r>
      <w:r>
        <w:t>Medicaid eligibility and enrollment screening and support (including benefits suspension and activation capabilities)</w:t>
      </w:r>
      <w:r w:rsidR="000505E1">
        <w:t>;</w:t>
      </w:r>
      <w:r>
        <w:t xml:space="preserve"> screening for pre-release services and behavioral health linkages</w:t>
      </w:r>
      <w:r w:rsidR="000505E1">
        <w:t>;</w:t>
      </w:r>
      <w:r>
        <w:t xml:space="preserve"> billing and </w:t>
      </w:r>
      <w:r w:rsidR="001A07C5">
        <w:t xml:space="preserve">Medicaid </w:t>
      </w:r>
      <w:r>
        <w:t>provider enrollment</w:t>
      </w:r>
      <w:r w:rsidR="00C8594A">
        <w:t xml:space="preserve">; </w:t>
      </w:r>
      <w:r w:rsidR="001A07C5">
        <w:t xml:space="preserve">release date </w:t>
      </w:r>
      <w:r w:rsidR="00C8594A">
        <w:t xml:space="preserve">identification and </w:t>
      </w:r>
      <w:r w:rsidR="001A07C5">
        <w:t>notification</w:t>
      </w:r>
      <w:r w:rsidR="000505E1">
        <w:t>;</w:t>
      </w:r>
      <w:r w:rsidR="001A07C5">
        <w:t xml:space="preserve"> </w:t>
      </w:r>
      <w:r>
        <w:t>support of pre-release case management and MAT</w:t>
      </w:r>
      <w:r w:rsidR="000505E1">
        <w:t>;</w:t>
      </w:r>
      <w:r w:rsidR="001A07C5">
        <w:t xml:space="preserve"> support for medication dispensing and DME prescription upon release</w:t>
      </w:r>
      <w:r w:rsidR="00C8594A">
        <w:t>;</w:t>
      </w:r>
      <w:r w:rsidR="001A07C5">
        <w:t xml:space="preserve"> staffing and workforce development plan</w:t>
      </w:r>
      <w:r w:rsidR="00C8594A">
        <w:t>ning;</w:t>
      </w:r>
      <w:r w:rsidR="001A07C5">
        <w:t xml:space="preserve"> reentry case management warm handoff with post-release service providers and behavioral health linkages</w:t>
      </w:r>
      <w:r w:rsidR="000505E1">
        <w:t>;</w:t>
      </w:r>
      <w:r w:rsidR="001A07C5">
        <w:t xml:space="preserve"> governance for collaborative partnerships </w:t>
      </w:r>
      <w:r w:rsidR="001A07C5">
        <w:lastRenderedPageBreak/>
        <w:t>among key stakeholders</w:t>
      </w:r>
      <w:r w:rsidR="000505E1">
        <w:t>;</w:t>
      </w:r>
      <w:r w:rsidR="001A07C5">
        <w:t xml:space="preserve"> infrastructure for use of technology</w:t>
      </w:r>
      <w:r w:rsidR="000505E1">
        <w:t>;</w:t>
      </w:r>
      <w:r w:rsidR="001A07C5">
        <w:t xml:space="preserve"> data sharing</w:t>
      </w:r>
      <w:r w:rsidR="000505E1">
        <w:t>;</w:t>
      </w:r>
      <w:r w:rsidR="001A07C5">
        <w:t xml:space="preserve"> and reporting, oversight and monitoring service delivery and program operations.</w:t>
      </w:r>
    </w:p>
    <w:p w14:paraId="0E1F16D0" w14:textId="7435CFE1" w:rsidR="001F5E17" w:rsidRDefault="001A07C5" w:rsidP="009F36C7">
      <w:r>
        <w:t xml:space="preserve">In addition to the eligible </w:t>
      </w:r>
      <w:proofErr w:type="gramStart"/>
      <w:r>
        <w:t>correctional facilities</w:t>
      </w:r>
      <w:proofErr w:type="gramEnd"/>
      <w:r>
        <w:t xml:space="preserve">, </w:t>
      </w:r>
      <w:r w:rsidR="00D54012">
        <w:t xml:space="preserve">Kentucky </w:t>
      </w:r>
      <w:r>
        <w:t>will provide readiness assessment tools to social service agencies</w:t>
      </w:r>
      <w:r w:rsidR="001F5E17">
        <w:t xml:space="preserve">, community-based providers, and others to </w:t>
      </w:r>
      <w:r w:rsidR="00A842F9">
        <w:t>demonstrate</w:t>
      </w:r>
      <w:r w:rsidR="001F5E17">
        <w:t xml:space="preserve"> their readiness </w:t>
      </w:r>
      <w:r w:rsidR="00A842F9">
        <w:t xml:space="preserve">to deliver relevant services within the </w:t>
      </w:r>
      <w:r w:rsidR="0077642A">
        <w:t>r</w:t>
      </w:r>
      <w:r w:rsidR="00A842F9">
        <w:t>eentry program.</w:t>
      </w:r>
      <w:r w:rsidR="00B130AB">
        <w:t xml:space="preserve"> </w:t>
      </w:r>
      <w:r w:rsidR="00A842F9">
        <w:t xml:space="preserve">These focus areas may include </w:t>
      </w:r>
      <w:r w:rsidR="001F5E17">
        <w:t>data sharing, follow-up appointments, transportation, clinical handoffs between providers, and post-release scheduling and service delivery.</w:t>
      </w:r>
      <w:r w:rsidR="000C680C">
        <w:t xml:space="preserve"> </w:t>
      </w:r>
      <w:r w:rsidR="001F5E17">
        <w:t xml:space="preserve">Using features of the readiness assessment tool, </w:t>
      </w:r>
      <w:r w:rsidR="00D54012">
        <w:t xml:space="preserve">Kentucky </w:t>
      </w:r>
      <w:r w:rsidR="001F5E17">
        <w:t xml:space="preserve">will assess </w:t>
      </w:r>
      <w:r w:rsidR="00A842F9">
        <w:t xml:space="preserve">the </w:t>
      </w:r>
      <w:r w:rsidR="001F5E17">
        <w:t xml:space="preserve">readiness of each of these </w:t>
      </w:r>
      <w:r w:rsidR="00A842F9">
        <w:t>entities</w:t>
      </w:r>
      <w:r w:rsidR="001F5E17">
        <w:t xml:space="preserve"> based on a scoring rubric to determine whether each are satisfactorily ready to operationalize their </w:t>
      </w:r>
      <w:r w:rsidR="000C680C">
        <w:t>activities</w:t>
      </w:r>
      <w:r w:rsidR="001F5E17">
        <w:t xml:space="preserve"> to meet the needs of the </w:t>
      </w:r>
      <w:r w:rsidR="000C680C">
        <w:t>wavier participants</w:t>
      </w:r>
      <w:r w:rsidR="001F5E17">
        <w:t>.</w:t>
      </w:r>
      <w:r w:rsidR="00B130AB">
        <w:t xml:space="preserve"> </w:t>
      </w:r>
      <w:r w:rsidR="00A10769">
        <w:t xml:space="preserve">To </w:t>
      </w:r>
      <w:r w:rsidR="000C680C">
        <w:t>secure approval for “go-live”</w:t>
      </w:r>
      <w:r w:rsidR="00A10769">
        <w:t xml:space="preserve"> the </w:t>
      </w:r>
      <w:r w:rsidR="002456E6">
        <w:t xml:space="preserve">entity </w:t>
      </w:r>
      <w:r w:rsidR="00A10769">
        <w:t>must receive a “pass” in all areas</w:t>
      </w:r>
      <w:r w:rsidR="00A842F9">
        <w:t>.</w:t>
      </w:r>
      <w:r w:rsidR="00B130AB">
        <w:t xml:space="preserve"> </w:t>
      </w:r>
      <w:r w:rsidR="00A842F9">
        <w:t xml:space="preserve">If the entity receives a “partial pass” or “fail” in any area, </w:t>
      </w:r>
      <w:r w:rsidR="00D54012">
        <w:t xml:space="preserve">the state </w:t>
      </w:r>
      <w:r w:rsidR="000C680C">
        <w:t>will develop a</w:t>
      </w:r>
      <w:r w:rsidR="00A842F9">
        <w:t xml:space="preserve"> corrective action </w:t>
      </w:r>
      <w:r w:rsidR="000C680C">
        <w:t>plan and work with the entity to meet readiness requirements.</w:t>
      </w:r>
    </w:p>
    <w:p w14:paraId="70909C5F" w14:textId="77777777" w:rsidR="00B63EA3" w:rsidRPr="009E6DD5" w:rsidRDefault="000C128B" w:rsidP="009F36C7">
      <w:pPr>
        <w:pStyle w:val="Heading1"/>
      </w:pPr>
      <w:bookmarkStart w:id="29" w:name="_Toc150417375"/>
      <w:r w:rsidRPr="009E6DD5">
        <w:rPr>
          <w:u w:color="000000"/>
        </w:rPr>
        <w:t xml:space="preserve">Section </w:t>
      </w:r>
      <w:r w:rsidRPr="009E6DD5">
        <w:rPr>
          <w:spacing w:val="-4"/>
          <w:u w:color="000000"/>
        </w:rPr>
        <w:t>VI</w:t>
      </w:r>
      <w:r w:rsidRPr="009E6DD5">
        <w:rPr>
          <w:spacing w:val="1"/>
          <w:u w:color="000000"/>
        </w:rPr>
        <w:t xml:space="preserve"> </w:t>
      </w:r>
      <w:r w:rsidRPr="009E6DD5">
        <w:rPr>
          <w:u w:color="000000"/>
        </w:rPr>
        <w:t>– Demonstration</w:t>
      </w:r>
      <w:r w:rsidRPr="009E6DD5">
        <w:rPr>
          <w:spacing w:val="-5"/>
          <w:u w:color="000000"/>
        </w:rPr>
        <w:t xml:space="preserve"> </w:t>
      </w:r>
      <w:r w:rsidRPr="009E6DD5">
        <w:rPr>
          <w:spacing w:val="-2"/>
          <w:u w:color="000000"/>
        </w:rPr>
        <w:t>Financing</w:t>
      </w:r>
      <w:r w:rsidRPr="009E6DD5">
        <w:rPr>
          <w:u w:color="000000"/>
        </w:rPr>
        <w:t xml:space="preserve"> and Budget</w:t>
      </w:r>
      <w:r w:rsidRPr="009E6DD5">
        <w:rPr>
          <w:spacing w:val="-3"/>
          <w:u w:color="000000"/>
        </w:rPr>
        <w:t xml:space="preserve"> </w:t>
      </w:r>
      <w:r w:rsidRPr="009E6DD5">
        <w:rPr>
          <w:spacing w:val="-2"/>
          <w:u w:color="000000"/>
        </w:rPr>
        <w:t>Neutrality</w:t>
      </w:r>
      <w:bookmarkEnd w:id="29"/>
    </w:p>
    <w:p w14:paraId="76CBDD79" w14:textId="77777777" w:rsidR="00B63EA3" w:rsidRDefault="00F22468" w:rsidP="00D038D6">
      <w:pPr>
        <w:pStyle w:val="Heading2"/>
      </w:pPr>
      <w:bookmarkStart w:id="30" w:name="_Toc150417376"/>
      <w:r>
        <w:t>Budget Neutrality</w:t>
      </w:r>
      <w:bookmarkEnd w:id="30"/>
    </w:p>
    <w:p w14:paraId="43CAB047" w14:textId="77777777" w:rsidR="000938A0" w:rsidRDefault="000938A0" w:rsidP="000938A0">
      <w:pPr>
        <w:rPr>
          <w:rFonts w:eastAsia="Times New Roman"/>
        </w:rPr>
      </w:pPr>
      <w:r w:rsidRPr="0083358A">
        <w:rPr>
          <w:rFonts w:eastAsia="Times New Roman"/>
        </w:rPr>
        <w:t xml:space="preserve">Pursuant to </w:t>
      </w:r>
      <w:r>
        <w:rPr>
          <w:rFonts w:eastAsia="Times New Roman"/>
        </w:rPr>
        <w:t>S</w:t>
      </w:r>
      <w:r w:rsidRPr="0083358A">
        <w:rPr>
          <w:rFonts w:eastAsia="Times New Roman"/>
        </w:rPr>
        <w:t>ection 1115(a) of the Social Security Act (“the Act”), states must demonstrate budget neutrality to receive approval of a demonstration waiver and to receive federal financial participation (FFP) for state expenditures that would not qualify for FPP under section 1093 of the Act.</w:t>
      </w:r>
      <w:r>
        <w:rPr>
          <w:rFonts w:eastAsia="Times New Roman"/>
        </w:rPr>
        <w:t xml:space="preserve"> Kentucky is proposing to use the hypothetical method for calculating budget neutrality.</w:t>
      </w:r>
    </w:p>
    <w:p w14:paraId="1F6EF915" w14:textId="22033184" w:rsidR="000938A0" w:rsidRPr="002D069C" w:rsidRDefault="000938A0" w:rsidP="002D069C">
      <w:pPr>
        <w:pStyle w:val="Heading3"/>
        <w:rPr>
          <w:b w:val="0"/>
        </w:rPr>
      </w:pPr>
      <w:bookmarkStart w:id="31" w:name="_Toc150417377"/>
      <w:r w:rsidRPr="002D069C">
        <w:t>Demonstration Population 1: Reentry Adult Population (i.e., Incarcerated Adults and BHCD</w:t>
      </w:r>
      <w:r w:rsidR="00C8728C">
        <w:t>P</w:t>
      </w:r>
      <w:r w:rsidRPr="002D069C">
        <w:t xml:space="preserve"> Participant Demonstration Eligibility Groups)</w:t>
      </w:r>
      <w:bookmarkEnd w:id="31"/>
    </w:p>
    <w:p w14:paraId="30F02617" w14:textId="77777777" w:rsidR="000938A0" w:rsidRDefault="000938A0" w:rsidP="00E3531F">
      <w:pPr>
        <w:spacing w:after="120"/>
        <w:rPr>
          <w:rFonts w:eastAsia="Times New Roman"/>
        </w:rPr>
      </w:pPr>
      <w:r w:rsidRPr="00D44644">
        <w:rPr>
          <w:rFonts w:eastAsia="Times New Roman"/>
        </w:rPr>
        <w:t>The Commonwealth utilized historic enrollment</w:t>
      </w:r>
      <w:r>
        <w:rPr>
          <w:rFonts w:eastAsia="Times New Roman"/>
        </w:rPr>
        <w:t>, capitation rates,</w:t>
      </w:r>
      <w:r w:rsidRPr="00D44644">
        <w:rPr>
          <w:rFonts w:eastAsia="Times New Roman"/>
        </w:rPr>
        <w:t xml:space="preserve"> and claims expenditures of </w:t>
      </w:r>
      <w:r>
        <w:rPr>
          <w:rFonts w:eastAsia="Times New Roman"/>
        </w:rPr>
        <w:t xml:space="preserve">recently released adult individuals </w:t>
      </w:r>
      <w:r w:rsidRPr="00D44644">
        <w:rPr>
          <w:rFonts w:eastAsia="Times New Roman"/>
        </w:rPr>
        <w:t>to develop the with and without waiver (WW and WOW) projections.</w:t>
      </w:r>
    </w:p>
    <w:p w14:paraId="07F1FEC6" w14:textId="77777777" w:rsidR="000938A0" w:rsidRPr="00741591" w:rsidRDefault="000938A0" w:rsidP="00741591">
      <w:pPr>
        <w:pStyle w:val="WVBullet2"/>
        <w:numPr>
          <w:ilvl w:val="0"/>
          <w:numId w:val="13"/>
        </w:numPr>
        <w:spacing w:after="120"/>
      </w:pPr>
      <w:r w:rsidRPr="00741591">
        <w:t>Historic data used was from the most recent complete four calendar years (January 1, 2018 – December 31, 2021).</w:t>
      </w:r>
    </w:p>
    <w:p w14:paraId="69C7B12B" w14:textId="7086F0BF" w:rsidR="000938A0" w:rsidRPr="00741591" w:rsidRDefault="000938A0" w:rsidP="00741591">
      <w:pPr>
        <w:pStyle w:val="WVBullet2"/>
        <w:numPr>
          <w:ilvl w:val="0"/>
          <w:numId w:val="13"/>
        </w:numPr>
        <w:spacing w:after="120"/>
      </w:pPr>
      <w:r w:rsidRPr="00741591">
        <w:t xml:space="preserve">Data includes all individuals </w:t>
      </w:r>
      <w:r w:rsidR="00827D45" w:rsidRPr="00741591">
        <w:t xml:space="preserve">aged 18 to </w:t>
      </w:r>
      <w:r w:rsidRPr="00741591">
        <w:t>64 that had a suspension due to incarceration lifted in the calendar year and the suspension was at least 365 days</w:t>
      </w:r>
      <w:r w:rsidR="00A35A77" w:rsidRPr="00741591">
        <w:t>, which was utilized to assist with estimating the population most applicable to the Proposed Reentry Demonstration</w:t>
      </w:r>
      <w:r w:rsidRPr="00741591">
        <w:t>.</w:t>
      </w:r>
    </w:p>
    <w:p w14:paraId="2CE4A427" w14:textId="77777777" w:rsidR="000938A0" w:rsidRPr="00741591" w:rsidRDefault="000938A0" w:rsidP="00741591">
      <w:pPr>
        <w:pStyle w:val="WVBullet2"/>
        <w:numPr>
          <w:ilvl w:val="0"/>
          <w:numId w:val="13"/>
        </w:numPr>
        <w:spacing w:after="120"/>
      </w:pPr>
      <w:r w:rsidRPr="00741591">
        <w:t>Member months and claims expenditures were utilized for the month(s) following release in the year in which the release occurred.</w:t>
      </w:r>
    </w:p>
    <w:p w14:paraId="5A7A245D" w14:textId="77777777" w:rsidR="000938A0" w:rsidRDefault="000938A0" w:rsidP="00741591">
      <w:pPr>
        <w:pStyle w:val="WVBullet2"/>
        <w:numPr>
          <w:ilvl w:val="1"/>
          <w:numId w:val="13"/>
        </w:numPr>
        <w:spacing w:after="120"/>
      </w:pPr>
      <w:r w:rsidRPr="00D44644">
        <w:t xml:space="preserve">Claims include </w:t>
      </w:r>
      <w:r>
        <w:t xml:space="preserve">managed care </w:t>
      </w:r>
      <w:r w:rsidRPr="00D44644">
        <w:t xml:space="preserve">capitation payments made along with any </w:t>
      </w:r>
      <w:r>
        <w:t>fee for service</w:t>
      </w:r>
      <w:r w:rsidRPr="00D44644">
        <w:t xml:space="preserve"> claims for that member that occurred in the same month.</w:t>
      </w:r>
    </w:p>
    <w:p w14:paraId="1AD1E678" w14:textId="77777777" w:rsidR="000938A0" w:rsidRPr="00741591" w:rsidRDefault="000938A0" w:rsidP="00741591">
      <w:pPr>
        <w:pStyle w:val="WVBullet2"/>
        <w:numPr>
          <w:ilvl w:val="0"/>
          <w:numId w:val="13"/>
        </w:numPr>
        <w:spacing w:after="120"/>
      </w:pPr>
      <w:r w:rsidRPr="00741591">
        <w:t>A risk factor adjustment was applied to population utilization to account for unwinding and expected changes in the demographic.</w:t>
      </w:r>
    </w:p>
    <w:p w14:paraId="0183458A" w14:textId="646155BB" w:rsidR="000938A0" w:rsidRPr="00741591" w:rsidRDefault="000938A0" w:rsidP="00741591">
      <w:pPr>
        <w:pStyle w:val="WVBullet2"/>
        <w:numPr>
          <w:ilvl w:val="0"/>
          <w:numId w:val="13"/>
        </w:numPr>
      </w:pPr>
      <w:r w:rsidRPr="00741591">
        <w:t xml:space="preserve">Estimated </w:t>
      </w:r>
      <w:r w:rsidR="00827D45" w:rsidRPr="00741591">
        <w:t>e</w:t>
      </w:r>
      <w:r w:rsidRPr="00741591">
        <w:t xml:space="preserve">ligible </w:t>
      </w:r>
      <w:r w:rsidR="00827D45" w:rsidRPr="00741591">
        <w:t>m</w:t>
      </w:r>
      <w:r w:rsidRPr="00741591">
        <w:t xml:space="preserve">ember </w:t>
      </w:r>
      <w:r w:rsidR="00827D45" w:rsidRPr="00741591">
        <w:t>m</w:t>
      </w:r>
      <w:r w:rsidRPr="00741591">
        <w:t xml:space="preserve">onths for RRSS is included in this demonstration population. Inclusion as a service provided under the Reentry population or the SUD population as part of KY Health will have an immaterial effect on calculated </w:t>
      </w:r>
      <w:r w:rsidR="00E3531F" w:rsidRPr="00741591">
        <w:t>per member per month (</w:t>
      </w:r>
      <w:r w:rsidRPr="00741591">
        <w:t>PMPM</w:t>
      </w:r>
      <w:r w:rsidR="00E3531F" w:rsidRPr="00741591">
        <w:t>)</w:t>
      </w:r>
      <w:r w:rsidRPr="00741591">
        <w:t xml:space="preserve"> limits.</w:t>
      </w:r>
    </w:p>
    <w:p w14:paraId="017887A8" w14:textId="2817811B" w:rsidR="000938A0" w:rsidRDefault="000938A0" w:rsidP="000938A0">
      <w:pPr>
        <w:rPr>
          <w:rFonts w:eastAsia="Times New Roman"/>
        </w:rPr>
      </w:pPr>
      <w:r w:rsidRPr="00113801">
        <w:rPr>
          <w:rFonts w:eastAsia="Times New Roman"/>
        </w:rPr>
        <w:lastRenderedPageBreak/>
        <w:t>For purposes of Demonstration Population 1, the Commonwealth is proposing to utilize the estimated Preside</w:t>
      </w:r>
      <w:r w:rsidR="00E3531F">
        <w:rPr>
          <w:rFonts w:eastAsia="Times New Roman"/>
        </w:rPr>
        <w:t>nt’s budget trend factor of 6.4 percent</w:t>
      </w:r>
      <w:r w:rsidRPr="00113801">
        <w:rPr>
          <w:rFonts w:eastAsia="Times New Roman"/>
        </w:rPr>
        <w:t xml:space="preserve"> to trend</w:t>
      </w:r>
      <w:r>
        <w:rPr>
          <w:rFonts w:eastAsia="Times New Roman"/>
        </w:rPr>
        <w:t xml:space="preserve"> the historic and base period data forward to each demonstration year. An additional increase anticipated for capitation payments </w:t>
      </w:r>
      <w:r w:rsidRPr="007737BE">
        <w:rPr>
          <w:rFonts w:eastAsia="Times New Roman"/>
        </w:rPr>
        <w:t>for the managed care population from 2021 to demonstration effective date, above and beyond normal inflation</w:t>
      </w:r>
      <w:r>
        <w:rPr>
          <w:rFonts w:eastAsia="Times New Roman"/>
        </w:rPr>
        <w:t>, was also included in the trend to the Base Year PMPM.</w:t>
      </w:r>
    </w:p>
    <w:p w14:paraId="7403B53D" w14:textId="77777777" w:rsidR="000938A0" w:rsidRPr="002D069C" w:rsidRDefault="000938A0" w:rsidP="002D069C">
      <w:pPr>
        <w:pStyle w:val="Heading3"/>
        <w:rPr>
          <w:b w:val="0"/>
        </w:rPr>
      </w:pPr>
      <w:bookmarkStart w:id="32" w:name="_Toc150417378"/>
      <w:r w:rsidRPr="002D069C">
        <w:t>Demonstration Population 2: Reentry Juvenile Population (i.e., YDC-Placed Youth Eligibility Group)</w:t>
      </w:r>
      <w:bookmarkEnd w:id="32"/>
    </w:p>
    <w:p w14:paraId="15C0C3E2" w14:textId="77777777" w:rsidR="000938A0" w:rsidRDefault="000938A0" w:rsidP="00741591">
      <w:pPr>
        <w:spacing w:after="120"/>
        <w:rPr>
          <w:rFonts w:eastAsia="Times New Roman"/>
        </w:rPr>
      </w:pPr>
      <w:r w:rsidRPr="00D44644">
        <w:rPr>
          <w:rFonts w:eastAsia="Times New Roman"/>
        </w:rPr>
        <w:t>The Commonwealth utilized historic enrollment</w:t>
      </w:r>
      <w:r>
        <w:rPr>
          <w:rFonts w:eastAsia="Times New Roman"/>
        </w:rPr>
        <w:t>, capitation rates,</w:t>
      </w:r>
      <w:r w:rsidRPr="00D44644">
        <w:rPr>
          <w:rFonts w:eastAsia="Times New Roman"/>
        </w:rPr>
        <w:t xml:space="preserve"> and claims expenditures of </w:t>
      </w:r>
      <w:r>
        <w:rPr>
          <w:rFonts w:eastAsia="Times New Roman"/>
        </w:rPr>
        <w:t xml:space="preserve">recently released juvenile individuals </w:t>
      </w:r>
      <w:r w:rsidRPr="00D44644">
        <w:rPr>
          <w:rFonts w:eastAsia="Times New Roman"/>
        </w:rPr>
        <w:t>to develop the WW and WOW projections.</w:t>
      </w:r>
    </w:p>
    <w:p w14:paraId="1F27734B" w14:textId="77777777" w:rsidR="000938A0" w:rsidRDefault="000938A0" w:rsidP="00741591">
      <w:pPr>
        <w:pStyle w:val="ListParagraph"/>
        <w:numPr>
          <w:ilvl w:val="0"/>
          <w:numId w:val="7"/>
        </w:numPr>
        <w:spacing w:after="120"/>
        <w:ind w:left="720"/>
        <w:rPr>
          <w:rFonts w:eastAsia="Times New Roman"/>
        </w:rPr>
      </w:pPr>
      <w:r w:rsidRPr="00D44644">
        <w:rPr>
          <w:rFonts w:eastAsia="Times New Roman"/>
        </w:rPr>
        <w:t>Historic data used was from the most recent complete f</w:t>
      </w:r>
      <w:r>
        <w:rPr>
          <w:rFonts w:eastAsia="Times New Roman"/>
        </w:rPr>
        <w:t>our</w:t>
      </w:r>
      <w:r w:rsidRPr="00D44644">
        <w:rPr>
          <w:rFonts w:eastAsia="Times New Roman"/>
        </w:rPr>
        <w:t xml:space="preserve"> calendar years (January 1, 201</w:t>
      </w:r>
      <w:r>
        <w:rPr>
          <w:rFonts w:eastAsia="Times New Roman"/>
        </w:rPr>
        <w:t>8</w:t>
      </w:r>
      <w:r w:rsidRPr="00D44644">
        <w:rPr>
          <w:rFonts w:eastAsia="Times New Roman"/>
        </w:rPr>
        <w:t xml:space="preserve"> – December 31, 2021).</w:t>
      </w:r>
    </w:p>
    <w:p w14:paraId="477ED4F2" w14:textId="3CA4C796" w:rsidR="000938A0" w:rsidRDefault="000938A0" w:rsidP="00741591">
      <w:pPr>
        <w:pStyle w:val="ListParagraph"/>
        <w:numPr>
          <w:ilvl w:val="0"/>
          <w:numId w:val="7"/>
        </w:numPr>
        <w:spacing w:after="120"/>
        <w:ind w:left="720"/>
        <w:rPr>
          <w:rFonts w:eastAsia="Times New Roman"/>
        </w:rPr>
      </w:pPr>
      <w:r>
        <w:rPr>
          <w:rFonts w:eastAsia="Times New Roman"/>
        </w:rPr>
        <w:t>Data includes all individuals aged 17 and younger that had a suspension due to incarceration lifted in the calendar year and the suspension was at least 30 days</w:t>
      </w:r>
      <w:r w:rsidR="00A35A77">
        <w:rPr>
          <w:rFonts w:eastAsia="Times New Roman"/>
        </w:rPr>
        <w:t>,</w:t>
      </w:r>
      <w:r w:rsidR="00A35A77" w:rsidRPr="00A35A77">
        <w:rPr>
          <w:rFonts w:eastAsia="Times New Roman"/>
        </w:rPr>
        <w:t xml:space="preserve"> which was utilized to assist with estimating the population most applicable to the Proposed Reentry </w:t>
      </w:r>
      <w:r w:rsidR="00A35A77">
        <w:rPr>
          <w:rFonts w:eastAsia="Times New Roman"/>
        </w:rPr>
        <w:t>Demonstration</w:t>
      </w:r>
      <w:r w:rsidR="00A35A77" w:rsidRPr="00A35A77">
        <w:rPr>
          <w:rFonts w:eastAsia="Times New Roman"/>
        </w:rPr>
        <w:t>.</w:t>
      </w:r>
    </w:p>
    <w:p w14:paraId="67BC1371" w14:textId="77777777" w:rsidR="000938A0" w:rsidRPr="00D44644" w:rsidRDefault="000938A0" w:rsidP="00741591">
      <w:pPr>
        <w:pStyle w:val="ListParagraph"/>
        <w:numPr>
          <w:ilvl w:val="0"/>
          <w:numId w:val="7"/>
        </w:numPr>
        <w:spacing w:after="120"/>
        <w:ind w:left="720"/>
        <w:rPr>
          <w:rFonts w:eastAsia="Times New Roman"/>
        </w:rPr>
      </w:pPr>
      <w:r w:rsidRPr="00D44644">
        <w:rPr>
          <w:rFonts w:eastAsia="Times New Roman"/>
        </w:rPr>
        <w:t xml:space="preserve">Member months and claims expenditures were </w:t>
      </w:r>
      <w:r>
        <w:rPr>
          <w:rFonts w:eastAsia="Times New Roman"/>
        </w:rPr>
        <w:t>utilized</w:t>
      </w:r>
      <w:r w:rsidRPr="00D44644">
        <w:rPr>
          <w:rFonts w:eastAsia="Times New Roman"/>
        </w:rPr>
        <w:t xml:space="preserve"> for the month(s)</w:t>
      </w:r>
      <w:r>
        <w:rPr>
          <w:rFonts w:eastAsia="Times New Roman"/>
        </w:rPr>
        <w:t xml:space="preserve"> following release in the year in which the release </w:t>
      </w:r>
      <w:r w:rsidRPr="00D44644">
        <w:rPr>
          <w:rFonts w:eastAsia="Times New Roman"/>
        </w:rPr>
        <w:t>occurred.</w:t>
      </w:r>
    </w:p>
    <w:p w14:paraId="3542B37D" w14:textId="77777777" w:rsidR="000938A0" w:rsidRPr="00741591" w:rsidRDefault="000938A0" w:rsidP="00741591">
      <w:pPr>
        <w:pStyle w:val="WVBullet2"/>
        <w:numPr>
          <w:ilvl w:val="1"/>
          <w:numId w:val="13"/>
        </w:numPr>
      </w:pPr>
      <w:r w:rsidRPr="00741591">
        <w:t>Claims include managed care capitation payments made along with any fee for service claims for that member that occurred in the same month.</w:t>
      </w:r>
    </w:p>
    <w:p w14:paraId="3F5BD5A4" w14:textId="3092454C" w:rsidR="000938A0" w:rsidRDefault="000938A0" w:rsidP="00EC26D8">
      <w:pPr>
        <w:pStyle w:val="WVBullet2"/>
        <w:numPr>
          <w:ilvl w:val="0"/>
          <w:numId w:val="0"/>
        </w:numPr>
        <w:rPr>
          <w:rFonts w:eastAsia="Times New Roman"/>
        </w:rPr>
      </w:pPr>
      <w:r w:rsidRPr="00113801">
        <w:rPr>
          <w:rFonts w:eastAsia="Times New Roman"/>
        </w:rPr>
        <w:t xml:space="preserve">For purposes of Demonstration Population </w:t>
      </w:r>
      <w:r>
        <w:rPr>
          <w:rFonts w:eastAsia="Times New Roman"/>
        </w:rPr>
        <w:t>2,</w:t>
      </w:r>
      <w:r w:rsidRPr="00113801">
        <w:rPr>
          <w:rFonts w:eastAsia="Times New Roman"/>
        </w:rPr>
        <w:t xml:space="preserve"> the</w:t>
      </w:r>
      <w:r>
        <w:rPr>
          <w:rFonts w:eastAsia="Times New Roman"/>
        </w:rPr>
        <w:t xml:space="preserve"> Commonwealth is proposing to utilize the estimated Preside</w:t>
      </w:r>
      <w:r w:rsidR="000B30BA">
        <w:rPr>
          <w:rFonts w:eastAsia="Times New Roman"/>
        </w:rPr>
        <w:t>nt’s budget trend factor of 5.8 percent</w:t>
      </w:r>
      <w:r>
        <w:rPr>
          <w:rFonts w:eastAsia="Times New Roman"/>
        </w:rPr>
        <w:t xml:space="preserve"> to trend the historic and base period data forward to each demonstration year. An additional increase anticipated for capitation payments </w:t>
      </w:r>
      <w:r w:rsidRPr="007737BE">
        <w:rPr>
          <w:rFonts w:eastAsia="Times New Roman"/>
        </w:rPr>
        <w:t>for the managed care population from 2021 to demonstration effective date, above and beyond normal inflation</w:t>
      </w:r>
      <w:r>
        <w:rPr>
          <w:rFonts w:eastAsia="Times New Roman"/>
        </w:rPr>
        <w:t>, was also included</w:t>
      </w:r>
      <w:r w:rsidRPr="003C321A">
        <w:t xml:space="preserve"> </w:t>
      </w:r>
      <w:r w:rsidRPr="003C321A">
        <w:rPr>
          <w:rFonts w:eastAsia="Times New Roman"/>
        </w:rPr>
        <w:t>in the trend to the Base Year PMPM</w:t>
      </w:r>
      <w:r>
        <w:rPr>
          <w:rFonts w:eastAsia="Times New Roman"/>
        </w:rPr>
        <w:t>.</w:t>
      </w:r>
    </w:p>
    <w:p w14:paraId="2D6A1BE9" w14:textId="7D1DBEFA" w:rsidR="000938A0" w:rsidRPr="007506B6" w:rsidRDefault="000938A0" w:rsidP="000623FF">
      <w:pPr>
        <w:pStyle w:val="Heading3"/>
      </w:pPr>
      <w:bookmarkStart w:id="33" w:name="_Toc150417379"/>
      <w:r w:rsidRPr="000623FF">
        <w:t>Budget Neutrality and Fiscal Summary</w:t>
      </w:r>
      <w:bookmarkEnd w:id="33"/>
      <w:r>
        <w:br/>
      </w:r>
    </w:p>
    <w:p w14:paraId="0714C7B5" w14:textId="2D4CA14A" w:rsidR="00D0452E" w:rsidRDefault="00D0452E" w:rsidP="000623FF">
      <w:pPr>
        <w:pStyle w:val="Caption"/>
      </w:pPr>
      <w:r>
        <w:t xml:space="preserve">Table </w:t>
      </w:r>
      <w:fldSimple w:instr=" SEQ Table \* ARABIC ">
        <w:r w:rsidR="001A1A35">
          <w:rPr>
            <w:noProof/>
          </w:rPr>
          <w:t>5</w:t>
        </w:r>
      </w:fldSimple>
      <w:r w:rsidR="00261A19">
        <w:t xml:space="preserve">. </w:t>
      </w:r>
      <w:r w:rsidR="00E3531F">
        <w:t>PMPM and</w:t>
      </w:r>
      <w:r w:rsidRPr="00EA2C4F">
        <w:t xml:space="preserve"> Annual Trend Factor by Population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36"/>
        <w:gridCol w:w="2069"/>
        <w:gridCol w:w="2417"/>
      </w:tblGrid>
      <w:tr w:rsidR="00D0452E" w:rsidRPr="00FA46B7" w14:paraId="4DD8E36B" w14:textId="77777777" w:rsidTr="000B30BA">
        <w:trPr>
          <w:trHeight w:val="300"/>
          <w:tblHeader/>
        </w:trPr>
        <w:tc>
          <w:tcPr>
            <w:tcW w:w="0" w:type="auto"/>
            <w:shd w:val="clear" w:color="auto" w:fill="093865"/>
            <w:noWrap/>
            <w:vAlign w:val="center"/>
            <w:hideMark/>
          </w:tcPr>
          <w:p w14:paraId="201B947F" w14:textId="2DB30B9B" w:rsidR="00D0452E" w:rsidRPr="00923CA6" w:rsidRDefault="00D0452E" w:rsidP="00D0452E">
            <w:pPr>
              <w:spacing w:after="0"/>
              <w:jc w:val="center"/>
              <w:rPr>
                <w:b/>
              </w:rPr>
            </w:pPr>
            <w:r>
              <w:rPr>
                <w:rFonts w:eastAsia="Times New Roman"/>
                <w:b/>
                <w:bCs/>
                <w:color w:val="FFFFFF"/>
              </w:rPr>
              <w:t>Demonstration Population</w:t>
            </w:r>
          </w:p>
        </w:tc>
        <w:tc>
          <w:tcPr>
            <w:tcW w:w="0" w:type="auto"/>
            <w:shd w:val="clear" w:color="auto" w:fill="093865"/>
            <w:vAlign w:val="center"/>
          </w:tcPr>
          <w:p w14:paraId="5D1C94AA" w14:textId="16A1F872" w:rsidR="00D0452E" w:rsidRPr="00923CA6" w:rsidRDefault="00D0452E" w:rsidP="00D0452E">
            <w:pPr>
              <w:spacing w:after="0"/>
              <w:jc w:val="center"/>
              <w:rPr>
                <w:b/>
              </w:rPr>
            </w:pPr>
            <w:r w:rsidRPr="007A2C8E">
              <w:rPr>
                <w:rFonts w:eastAsia="Times New Roman"/>
                <w:b/>
                <w:bCs/>
                <w:color w:val="FFFFFF"/>
              </w:rPr>
              <w:t>Base Year PMPM</w:t>
            </w:r>
          </w:p>
        </w:tc>
        <w:tc>
          <w:tcPr>
            <w:tcW w:w="0" w:type="auto"/>
            <w:shd w:val="clear" w:color="auto" w:fill="093865"/>
            <w:vAlign w:val="center"/>
          </w:tcPr>
          <w:p w14:paraId="2C80375E" w14:textId="45587572" w:rsidR="00D0452E" w:rsidRPr="00923CA6" w:rsidRDefault="00D0452E" w:rsidP="00D0452E">
            <w:pPr>
              <w:spacing w:after="0"/>
              <w:jc w:val="center"/>
              <w:rPr>
                <w:b/>
              </w:rPr>
            </w:pPr>
            <w:r w:rsidRPr="007A2C8E">
              <w:rPr>
                <w:rFonts w:eastAsia="Times New Roman"/>
                <w:b/>
                <w:bCs/>
                <w:color w:val="FFFFFF"/>
              </w:rPr>
              <w:t>Annual Trend Factor</w:t>
            </w:r>
          </w:p>
        </w:tc>
      </w:tr>
      <w:tr w:rsidR="00D0452E" w:rsidRPr="00FA46B7" w14:paraId="0D493106" w14:textId="77777777" w:rsidTr="000B30BA">
        <w:trPr>
          <w:trHeight w:val="314"/>
        </w:trPr>
        <w:tc>
          <w:tcPr>
            <w:tcW w:w="0" w:type="auto"/>
            <w:shd w:val="clear" w:color="auto" w:fill="auto"/>
            <w:noWrap/>
            <w:vAlign w:val="bottom"/>
          </w:tcPr>
          <w:p w14:paraId="20ECF684" w14:textId="6D9E5EDE" w:rsidR="00D0452E" w:rsidRPr="00FA46B7" w:rsidRDefault="00D0452E" w:rsidP="000623FF">
            <w:pPr>
              <w:spacing w:after="0"/>
            </w:pPr>
            <w:r w:rsidRPr="007A2C8E">
              <w:rPr>
                <w:rFonts w:eastAsia="Times New Roman"/>
                <w:color w:val="000000"/>
              </w:rPr>
              <w:t>Reentry Adult Population</w:t>
            </w:r>
          </w:p>
        </w:tc>
        <w:tc>
          <w:tcPr>
            <w:tcW w:w="0" w:type="auto"/>
            <w:vAlign w:val="bottom"/>
          </w:tcPr>
          <w:p w14:paraId="3466E794" w14:textId="6FAA5D49" w:rsidR="00D0452E" w:rsidRPr="00FA46B7" w:rsidRDefault="00D0452E" w:rsidP="000623FF">
            <w:pPr>
              <w:spacing w:after="0"/>
              <w:rPr>
                <w:b/>
              </w:rPr>
            </w:pPr>
            <w:r w:rsidRPr="007A2C8E">
              <w:rPr>
                <w:rFonts w:eastAsia="Times New Roman"/>
                <w:color w:val="000000"/>
              </w:rPr>
              <w:t xml:space="preserve">$1,347.77 </w:t>
            </w:r>
          </w:p>
        </w:tc>
        <w:tc>
          <w:tcPr>
            <w:tcW w:w="0" w:type="auto"/>
            <w:vAlign w:val="bottom"/>
          </w:tcPr>
          <w:p w14:paraId="366CF6EA" w14:textId="75C9B66C" w:rsidR="00D0452E" w:rsidRPr="00FA46B7" w:rsidRDefault="00D0452E" w:rsidP="000623FF">
            <w:pPr>
              <w:spacing w:after="0"/>
              <w:rPr>
                <w:b/>
              </w:rPr>
            </w:pPr>
            <w:r w:rsidRPr="007A2C8E">
              <w:rPr>
                <w:rFonts w:eastAsia="Times New Roman"/>
                <w:color w:val="000000"/>
              </w:rPr>
              <w:t>6.4%</w:t>
            </w:r>
          </w:p>
        </w:tc>
      </w:tr>
      <w:tr w:rsidR="00D0452E" w:rsidRPr="00FA46B7" w14:paraId="04F56DF8" w14:textId="77777777" w:rsidTr="000B30BA">
        <w:trPr>
          <w:trHeight w:val="377"/>
        </w:trPr>
        <w:tc>
          <w:tcPr>
            <w:tcW w:w="0" w:type="auto"/>
            <w:shd w:val="clear" w:color="auto" w:fill="auto"/>
            <w:noWrap/>
            <w:vAlign w:val="bottom"/>
          </w:tcPr>
          <w:p w14:paraId="16C21D0D" w14:textId="566845A5" w:rsidR="00D0452E" w:rsidRPr="00FA46B7" w:rsidRDefault="00D0452E" w:rsidP="000623FF">
            <w:pPr>
              <w:spacing w:after="0"/>
            </w:pPr>
            <w:r w:rsidRPr="007A2C8E">
              <w:rPr>
                <w:rFonts w:eastAsia="Times New Roman"/>
                <w:color w:val="000000"/>
              </w:rPr>
              <w:t>Reentry Juvenile Population</w:t>
            </w:r>
          </w:p>
        </w:tc>
        <w:tc>
          <w:tcPr>
            <w:tcW w:w="0" w:type="auto"/>
            <w:vAlign w:val="bottom"/>
          </w:tcPr>
          <w:p w14:paraId="2FE13139" w14:textId="7944A0E2" w:rsidR="00D0452E" w:rsidRPr="00FA46B7" w:rsidRDefault="00D0452E" w:rsidP="000623FF">
            <w:pPr>
              <w:spacing w:after="0"/>
              <w:rPr>
                <w:b/>
              </w:rPr>
            </w:pPr>
            <w:r w:rsidRPr="007A2C8E">
              <w:rPr>
                <w:rFonts w:eastAsia="Times New Roman"/>
                <w:color w:val="000000"/>
              </w:rPr>
              <w:t xml:space="preserve">$2,714.93 </w:t>
            </w:r>
          </w:p>
        </w:tc>
        <w:tc>
          <w:tcPr>
            <w:tcW w:w="0" w:type="auto"/>
            <w:vAlign w:val="bottom"/>
          </w:tcPr>
          <w:p w14:paraId="6D2A25B4" w14:textId="58DCE50D" w:rsidR="00D0452E" w:rsidRPr="00FA46B7" w:rsidRDefault="00D0452E" w:rsidP="000623FF">
            <w:pPr>
              <w:spacing w:after="0"/>
              <w:rPr>
                <w:b/>
              </w:rPr>
            </w:pPr>
            <w:r w:rsidRPr="007A2C8E">
              <w:rPr>
                <w:rFonts w:eastAsia="Times New Roman"/>
                <w:color w:val="000000"/>
              </w:rPr>
              <w:t>5.8%</w:t>
            </w:r>
          </w:p>
        </w:tc>
      </w:tr>
    </w:tbl>
    <w:p w14:paraId="2CF76507" w14:textId="1CE2CC1D" w:rsidR="00D0452E" w:rsidRDefault="00D0452E" w:rsidP="000623FF">
      <w:pPr>
        <w:spacing w:after="0"/>
        <w:rPr>
          <w:highlight w:val="yellow"/>
        </w:rPr>
      </w:pPr>
    </w:p>
    <w:p w14:paraId="42A6BBBE" w14:textId="621E1609" w:rsidR="00EE4575" w:rsidRDefault="00EE4575" w:rsidP="000623FF">
      <w:pPr>
        <w:pStyle w:val="Caption"/>
      </w:pPr>
      <w:r>
        <w:t xml:space="preserve">Table </w:t>
      </w:r>
      <w:fldSimple w:instr=" SEQ Table \* ARABIC ">
        <w:r w:rsidR="001A1A35">
          <w:rPr>
            <w:noProof/>
          </w:rPr>
          <w:t>6</w:t>
        </w:r>
      </w:fldSimple>
      <w:r>
        <w:t xml:space="preserve">. </w:t>
      </w:r>
      <w:r w:rsidRPr="00600C96">
        <w:t>WW and WOW Demonstration Years</w:t>
      </w:r>
    </w:p>
    <w:tbl>
      <w:tblPr>
        <w:tblW w:w="5101" w:type="pct"/>
        <w:tblLayout w:type="fixed"/>
        <w:tblLook w:val="04A0" w:firstRow="1" w:lastRow="0" w:firstColumn="1" w:lastColumn="0" w:noHBand="0" w:noVBand="1"/>
      </w:tblPr>
      <w:tblGrid>
        <w:gridCol w:w="2155"/>
        <w:gridCol w:w="1476"/>
        <w:gridCol w:w="1477"/>
        <w:gridCol w:w="1477"/>
        <w:gridCol w:w="1477"/>
        <w:gridCol w:w="1477"/>
      </w:tblGrid>
      <w:tr w:rsidR="007506B6" w:rsidRPr="007A2C8E" w14:paraId="5B45F3E3" w14:textId="77777777" w:rsidTr="00EC26D8">
        <w:trPr>
          <w:trHeight w:val="287"/>
          <w:tblHeader/>
        </w:trPr>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93865"/>
            <w:noWrap/>
            <w:vAlign w:val="center"/>
            <w:hideMark/>
          </w:tcPr>
          <w:p w14:paraId="62CFDC5E" w14:textId="0255CC2A" w:rsidR="007506B6" w:rsidRPr="007A2C8E" w:rsidRDefault="007506B6" w:rsidP="000623FF">
            <w:pPr>
              <w:widowControl/>
              <w:spacing w:after="0"/>
              <w:jc w:val="center"/>
              <w:rPr>
                <w:rFonts w:eastAsia="Times New Roman"/>
                <w:b/>
                <w:bCs/>
                <w:color w:val="FFFFFF"/>
              </w:rPr>
            </w:pPr>
            <w:r w:rsidRPr="007A2C8E">
              <w:rPr>
                <w:rFonts w:eastAsia="Times New Roman"/>
                <w:b/>
                <w:bCs/>
                <w:color w:val="FFFFFF"/>
              </w:rPr>
              <w:t>WW and WOW Demonstration Years</w:t>
            </w:r>
          </w:p>
        </w:tc>
      </w:tr>
      <w:tr w:rsidR="00261A19" w:rsidRPr="007A2C8E" w14:paraId="4E239A69" w14:textId="77777777" w:rsidTr="00EC26D8">
        <w:trPr>
          <w:trHeight w:val="300"/>
          <w:tblHeader/>
        </w:trPr>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093865"/>
            <w:noWrap/>
            <w:vAlign w:val="bottom"/>
            <w:hideMark/>
          </w:tcPr>
          <w:p w14:paraId="25AA4154" w14:textId="77777777" w:rsidR="000938A0" w:rsidRPr="007A2C8E" w:rsidRDefault="000938A0" w:rsidP="000623FF">
            <w:pPr>
              <w:widowControl/>
              <w:spacing w:after="0"/>
              <w:rPr>
                <w:rFonts w:eastAsia="Times New Roman"/>
                <w:b/>
                <w:bCs/>
                <w:color w:val="FFFFFF"/>
              </w:rPr>
            </w:pPr>
            <w:r w:rsidRPr="007A2C8E">
              <w:rPr>
                <w:rFonts w:eastAsia="Times New Roman"/>
                <w:b/>
                <w:bCs/>
                <w:color w:val="FFFFFF"/>
              </w:rPr>
              <w:t> </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093865"/>
            <w:noWrap/>
            <w:vAlign w:val="bottom"/>
            <w:hideMark/>
          </w:tcPr>
          <w:p w14:paraId="0F9902A5" w14:textId="77777777" w:rsidR="000938A0" w:rsidRPr="007A2C8E" w:rsidRDefault="000938A0" w:rsidP="000623FF">
            <w:pPr>
              <w:widowControl/>
              <w:spacing w:after="0"/>
              <w:jc w:val="center"/>
              <w:rPr>
                <w:rFonts w:eastAsia="Times New Roman"/>
                <w:b/>
                <w:bCs/>
                <w:color w:val="FFFFFF"/>
              </w:rPr>
            </w:pPr>
            <w:r w:rsidRPr="007A2C8E">
              <w:rPr>
                <w:rFonts w:eastAsia="Times New Roman"/>
                <w:b/>
                <w:bCs/>
                <w:color w:val="FFFFFF"/>
              </w:rPr>
              <w:t>DY1</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093865"/>
            <w:noWrap/>
            <w:vAlign w:val="bottom"/>
            <w:hideMark/>
          </w:tcPr>
          <w:p w14:paraId="7C072038" w14:textId="77777777" w:rsidR="000938A0" w:rsidRPr="007A2C8E" w:rsidRDefault="000938A0" w:rsidP="000623FF">
            <w:pPr>
              <w:widowControl/>
              <w:spacing w:after="0"/>
              <w:jc w:val="center"/>
              <w:rPr>
                <w:rFonts w:eastAsia="Times New Roman"/>
                <w:b/>
                <w:bCs/>
                <w:color w:val="FFFFFF"/>
              </w:rPr>
            </w:pPr>
            <w:r w:rsidRPr="007A2C8E">
              <w:rPr>
                <w:rFonts w:eastAsia="Times New Roman"/>
                <w:b/>
                <w:bCs/>
                <w:color w:val="FFFFFF"/>
              </w:rPr>
              <w:t>DY2</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093865"/>
            <w:noWrap/>
            <w:vAlign w:val="bottom"/>
            <w:hideMark/>
          </w:tcPr>
          <w:p w14:paraId="386C11F6" w14:textId="77777777" w:rsidR="000938A0" w:rsidRPr="007A2C8E" w:rsidRDefault="000938A0" w:rsidP="000623FF">
            <w:pPr>
              <w:widowControl/>
              <w:spacing w:after="0"/>
              <w:jc w:val="center"/>
              <w:rPr>
                <w:rFonts w:eastAsia="Times New Roman"/>
                <w:b/>
                <w:bCs/>
                <w:color w:val="FFFFFF"/>
              </w:rPr>
            </w:pPr>
            <w:r w:rsidRPr="007A2C8E">
              <w:rPr>
                <w:rFonts w:eastAsia="Times New Roman"/>
                <w:b/>
                <w:bCs/>
                <w:color w:val="FFFFFF"/>
              </w:rPr>
              <w:t>DY3</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093865"/>
            <w:noWrap/>
            <w:vAlign w:val="bottom"/>
            <w:hideMark/>
          </w:tcPr>
          <w:p w14:paraId="24F9C989" w14:textId="77777777" w:rsidR="000938A0" w:rsidRPr="007A2C8E" w:rsidRDefault="000938A0" w:rsidP="000623FF">
            <w:pPr>
              <w:widowControl/>
              <w:spacing w:after="0"/>
              <w:jc w:val="center"/>
              <w:rPr>
                <w:rFonts w:eastAsia="Times New Roman"/>
                <w:b/>
                <w:bCs/>
                <w:color w:val="FFFFFF"/>
              </w:rPr>
            </w:pPr>
            <w:r w:rsidRPr="007A2C8E">
              <w:rPr>
                <w:rFonts w:eastAsia="Times New Roman"/>
                <w:b/>
                <w:bCs/>
                <w:color w:val="FFFFFF"/>
              </w:rPr>
              <w:t>DY4</w:t>
            </w:r>
          </w:p>
        </w:tc>
        <w:tc>
          <w:tcPr>
            <w:tcW w:w="77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93865"/>
            <w:noWrap/>
            <w:vAlign w:val="bottom"/>
            <w:hideMark/>
          </w:tcPr>
          <w:p w14:paraId="1DB544F8" w14:textId="77777777" w:rsidR="000938A0" w:rsidRPr="007A2C8E" w:rsidRDefault="000938A0" w:rsidP="000623FF">
            <w:pPr>
              <w:widowControl/>
              <w:spacing w:after="0"/>
              <w:jc w:val="center"/>
              <w:rPr>
                <w:rFonts w:eastAsia="Times New Roman"/>
                <w:b/>
                <w:bCs/>
                <w:color w:val="FFFFFF"/>
              </w:rPr>
            </w:pPr>
            <w:r w:rsidRPr="007A2C8E">
              <w:rPr>
                <w:rFonts w:eastAsia="Times New Roman"/>
                <w:b/>
                <w:bCs/>
                <w:color w:val="FFFFFF"/>
              </w:rPr>
              <w:t>DY5</w:t>
            </w:r>
          </w:p>
        </w:tc>
      </w:tr>
      <w:tr w:rsidR="00261A19" w:rsidRPr="007A2C8E" w14:paraId="3C9D719B" w14:textId="77777777" w:rsidTr="000623FF">
        <w:trPr>
          <w:trHeight w:val="300"/>
        </w:trPr>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A6A6A6"/>
            <w:noWrap/>
            <w:vAlign w:val="bottom"/>
            <w:hideMark/>
          </w:tcPr>
          <w:p w14:paraId="3DC5993D" w14:textId="77777777" w:rsidR="00261A19" w:rsidRPr="007A2C8E" w:rsidRDefault="00261A19">
            <w:pPr>
              <w:widowControl/>
              <w:spacing w:after="0"/>
              <w:rPr>
                <w:rFonts w:eastAsia="Times New Roman"/>
                <w:b/>
                <w:bCs/>
                <w:i/>
                <w:iCs/>
                <w:color w:val="000000"/>
              </w:rPr>
            </w:pPr>
            <w:r w:rsidRPr="007A2C8E">
              <w:rPr>
                <w:rFonts w:eastAsia="Times New Roman"/>
                <w:b/>
                <w:bCs/>
                <w:i/>
                <w:iCs/>
                <w:color w:val="000000"/>
              </w:rPr>
              <w:t>Reentry Adult Population</w:t>
            </w:r>
          </w:p>
        </w:tc>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A6A6A6"/>
            <w:vAlign w:val="bottom"/>
          </w:tcPr>
          <w:p w14:paraId="60949E89" w14:textId="77777777" w:rsidR="00261A19" w:rsidRPr="007A2C8E" w:rsidRDefault="00261A19">
            <w:pPr>
              <w:widowControl/>
              <w:spacing w:after="0"/>
              <w:rPr>
                <w:rFonts w:eastAsia="Times New Roman"/>
                <w:b/>
                <w:bCs/>
                <w:i/>
                <w:iCs/>
                <w:color w:val="000000"/>
              </w:rPr>
            </w:pPr>
          </w:p>
        </w:tc>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A6A6A6"/>
            <w:vAlign w:val="bottom"/>
          </w:tcPr>
          <w:p w14:paraId="4092E4C2" w14:textId="77777777" w:rsidR="00261A19" w:rsidRPr="007A2C8E" w:rsidRDefault="00261A19">
            <w:pPr>
              <w:widowControl/>
              <w:spacing w:after="0"/>
              <w:rPr>
                <w:rFonts w:eastAsia="Times New Roman"/>
                <w:b/>
                <w:bCs/>
                <w:i/>
                <w:iCs/>
                <w:color w:val="000000"/>
              </w:rPr>
            </w:pPr>
          </w:p>
        </w:tc>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A6A6A6"/>
            <w:vAlign w:val="bottom"/>
          </w:tcPr>
          <w:p w14:paraId="5E5EAB09" w14:textId="77777777" w:rsidR="00261A19" w:rsidRPr="007A2C8E" w:rsidRDefault="00261A19">
            <w:pPr>
              <w:widowControl/>
              <w:spacing w:after="0"/>
              <w:rPr>
                <w:rFonts w:eastAsia="Times New Roman"/>
                <w:b/>
                <w:bCs/>
                <w:i/>
                <w:iCs/>
                <w:color w:val="000000"/>
              </w:rPr>
            </w:pPr>
          </w:p>
        </w:tc>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A6A6A6"/>
            <w:vAlign w:val="bottom"/>
          </w:tcPr>
          <w:p w14:paraId="70D459D3" w14:textId="77777777" w:rsidR="00261A19" w:rsidRPr="007A2C8E" w:rsidRDefault="00261A19">
            <w:pPr>
              <w:widowControl/>
              <w:spacing w:after="0"/>
              <w:rPr>
                <w:rFonts w:eastAsia="Times New Roman"/>
                <w:b/>
                <w:bCs/>
                <w:i/>
                <w:iCs/>
                <w:color w:val="000000"/>
              </w:rPr>
            </w:pPr>
          </w:p>
        </w:tc>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A6A6A6"/>
            <w:vAlign w:val="bottom"/>
          </w:tcPr>
          <w:p w14:paraId="46E79073" w14:textId="7F9CCF31" w:rsidR="00261A19" w:rsidRPr="007A2C8E" w:rsidRDefault="00261A19" w:rsidP="000623FF">
            <w:pPr>
              <w:widowControl/>
              <w:spacing w:after="0"/>
              <w:rPr>
                <w:rFonts w:eastAsia="Times New Roman"/>
                <w:b/>
                <w:bCs/>
                <w:i/>
                <w:iCs/>
                <w:color w:val="000000"/>
              </w:rPr>
            </w:pPr>
          </w:p>
        </w:tc>
      </w:tr>
      <w:tr w:rsidR="00261A19" w:rsidRPr="007A2C8E" w14:paraId="75EE80B5" w14:textId="77777777" w:rsidTr="000623FF">
        <w:trPr>
          <w:trHeight w:val="300"/>
        </w:trPr>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7F1C1B60" w14:textId="77777777" w:rsidR="000938A0" w:rsidRPr="007A2C8E" w:rsidRDefault="000938A0" w:rsidP="000623FF">
            <w:pPr>
              <w:widowControl/>
              <w:spacing w:after="0"/>
              <w:rPr>
                <w:rFonts w:eastAsia="Times New Roman"/>
                <w:color w:val="000000"/>
              </w:rPr>
            </w:pPr>
            <w:r w:rsidRPr="007A2C8E">
              <w:rPr>
                <w:rFonts w:eastAsia="Times New Roman"/>
                <w:color w:val="000000"/>
              </w:rPr>
              <w:t>Eligible Member Months</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4532A6F" w14:textId="77777777" w:rsidR="000938A0" w:rsidRPr="007A2C8E" w:rsidRDefault="000938A0" w:rsidP="000623FF">
            <w:pPr>
              <w:widowControl/>
              <w:spacing w:after="0"/>
              <w:jc w:val="right"/>
              <w:rPr>
                <w:rFonts w:eastAsia="Times New Roman"/>
                <w:color w:val="000000"/>
              </w:rPr>
            </w:pPr>
            <w:r w:rsidRPr="007A2C8E">
              <w:rPr>
                <w:rFonts w:eastAsia="Times New Roman"/>
                <w:color w:val="000000"/>
              </w:rPr>
              <w:t>1</w:t>
            </w:r>
            <w:r>
              <w:rPr>
                <w:rFonts w:eastAsia="Times New Roman"/>
                <w:color w:val="000000"/>
              </w:rPr>
              <w:t>6</w:t>
            </w:r>
            <w:r w:rsidRPr="007A2C8E">
              <w:rPr>
                <w:rFonts w:eastAsia="Times New Roman"/>
                <w:color w:val="000000"/>
              </w:rPr>
              <w:t>,</w:t>
            </w:r>
            <w:r>
              <w:rPr>
                <w:rFonts w:eastAsia="Times New Roman"/>
                <w:color w:val="000000"/>
              </w:rPr>
              <w:t>355</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58FC834" w14:textId="77777777" w:rsidR="000938A0" w:rsidRPr="007A2C8E" w:rsidRDefault="000938A0" w:rsidP="000623FF">
            <w:pPr>
              <w:widowControl/>
              <w:spacing w:after="0"/>
              <w:jc w:val="right"/>
              <w:rPr>
                <w:rFonts w:eastAsia="Times New Roman"/>
                <w:color w:val="000000"/>
              </w:rPr>
            </w:pPr>
            <w:r w:rsidRPr="007A2C8E">
              <w:rPr>
                <w:rFonts w:eastAsia="Times New Roman"/>
                <w:color w:val="000000"/>
              </w:rPr>
              <w:t>1</w:t>
            </w:r>
            <w:r>
              <w:rPr>
                <w:rFonts w:eastAsia="Times New Roman"/>
                <w:color w:val="000000"/>
              </w:rPr>
              <w:t>6</w:t>
            </w:r>
            <w:r w:rsidRPr="007A2C8E">
              <w:rPr>
                <w:rFonts w:eastAsia="Times New Roman"/>
                <w:color w:val="000000"/>
              </w:rPr>
              <w:t>,</w:t>
            </w:r>
            <w:r>
              <w:rPr>
                <w:rFonts w:eastAsia="Times New Roman"/>
                <w:color w:val="000000"/>
              </w:rPr>
              <w:t>519</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80051AC" w14:textId="77777777" w:rsidR="000938A0" w:rsidRPr="007A2C8E" w:rsidRDefault="000938A0" w:rsidP="000623FF">
            <w:pPr>
              <w:widowControl/>
              <w:spacing w:after="0"/>
              <w:jc w:val="right"/>
              <w:rPr>
                <w:rFonts w:eastAsia="Times New Roman"/>
                <w:color w:val="000000"/>
              </w:rPr>
            </w:pPr>
            <w:r w:rsidRPr="007A2C8E">
              <w:rPr>
                <w:rFonts w:eastAsia="Times New Roman"/>
                <w:color w:val="000000"/>
              </w:rPr>
              <w:t>1</w:t>
            </w:r>
            <w:r>
              <w:rPr>
                <w:rFonts w:eastAsia="Times New Roman"/>
                <w:color w:val="000000"/>
              </w:rPr>
              <w:t>6</w:t>
            </w:r>
            <w:r w:rsidRPr="007A2C8E">
              <w:rPr>
                <w:rFonts w:eastAsia="Times New Roman"/>
                <w:color w:val="000000"/>
              </w:rPr>
              <w:t>,</w:t>
            </w:r>
            <w:r>
              <w:rPr>
                <w:rFonts w:eastAsia="Times New Roman"/>
                <w:color w:val="000000"/>
              </w:rPr>
              <w:t>684</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F4A2B11" w14:textId="77777777" w:rsidR="000938A0" w:rsidRPr="007A2C8E" w:rsidRDefault="000938A0" w:rsidP="000623FF">
            <w:pPr>
              <w:widowControl/>
              <w:spacing w:after="0"/>
              <w:jc w:val="right"/>
              <w:rPr>
                <w:rFonts w:eastAsia="Times New Roman"/>
                <w:color w:val="000000"/>
              </w:rPr>
            </w:pPr>
            <w:r w:rsidRPr="007A2C8E">
              <w:rPr>
                <w:rFonts w:eastAsia="Times New Roman"/>
                <w:color w:val="000000"/>
              </w:rPr>
              <w:t>1</w:t>
            </w:r>
            <w:r>
              <w:rPr>
                <w:rFonts w:eastAsia="Times New Roman"/>
                <w:color w:val="000000"/>
              </w:rPr>
              <w:t>6</w:t>
            </w:r>
            <w:r w:rsidRPr="007A2C8E">
              <w:rPr>
                <w:rFonts w:eastAsia="Times New Roman"/>
                <w:color w:val="000000"/>
              </w:rPr>
              <w:t>,8</w:t>
            </w:r>
            <w:r>
              <w:rPr>
                <w:rFonts w:eastAsia="Times New Roman"/>
                <w:color w:val="000000"/>
              </w:rPr>
              <w:t>51</w:t>
            </w:r>
          </w:p>
        </w:tc>
        <w:tc>
          <w:tcPr>
            <w:tcW w:w="77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0B63277C" w14:textId="77777777" w:rsidR="000938A0" w:rsidRPr="007A2C8E" w:rsidRDefault="000938A0" w:rsidP="000623FF">
            <w:pPr>
              <w:widowControl/>
              <w:spacing w:after="0"/>
              <w:jc w:val="right"/>
              <w:rPr>
                <w:rFonts w:eastAsia="Times New Roman"/>
                <w:color w:val="000000"/>
              </w:rPr>
            </w:pPr>
            <w:r w:rsidRPr="007A2C8E">
              <w:rPr>
                <w:rFonts w:eastAsia="Times New Roman"/>
                <w:color w:val="000000"/>
              </w:rPr>
              <w:t>1</w:t>
            </w:r>
            <w:r>
              <w:rPr>
                <w:rFonts w:eastAsia="Times New Roman"/>
                <w:color w:val="000000"/>
              </w:rPr>
              <w:t>7</w:t>
            </w:r>
            <w:r w:rsidRPr="007A2C8E">
              <w:rPr>
                <w:rFonts w:eastAsia="Times New Roman"/>
                <w:color w:val="000000"/>
              </w:rPr>
              <w:t>,</w:t>
            </w:r>
            <w:r>
              <w:rPr>
                <w:rFonts w:eastAsia="Times New Roman"/>
                <w:color w:val="000000"/>
              </w:rPr>
              <w:t>020</w:t>
            </w:r>
          </w:p>
        </w:tc>
      </w:tr>
      <w:tr w:rsidR="00261A19" w:rsidRPr="007A2C8E" w14:paraId="00B969C2" w14:textId="77777777" w:rsidTr="000623FF">
        <w:trPr>
          <w:trHeight w:val="300"/>
        </w:trPr>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59CC9697" w14:textId="77777777" w:rsidR="000938A0" w:rsidRPr="007A2C8E" w:rsidRDefault="000938A0" w:rsidP="000623FF">
            <w:pPr>
              <w:widowControl/>
              <w:spacing w:after="0"/>
              <w:rPr>
                <w:rFonts w:eastAsia="Times New Roman"/>
                <w:color w:val="000000"/>
              </w:rPr>
            </w:pPr>
            <w:r w:rsidRPr="007A2C8E">
              <w:rPr>
                <w:rFonts w:eastAsia="Times New Roman"/>
                <w:color w:val="000000"/>
              </w:rPr>
              <w:t>PMPM Cost</w:t>
            </w:r>
          </w:p>
        </w:tc>
        <w:tc>
          <w:tcPr>
            <w:tcW w:w="77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18B9FBFE" w14:textId="77777777" w:rsidR="000938A0" w:rsidRPr="007A2C8E" w:rsidRDefault="000938A0" w:rsidP="000623FF">
            <w:pPr>
              <w:widowControl/>
              <w:spacing w:after="0"/>
              <w:jc w:val="right"/>
              <w:rPr>
                <w:rFonts w:eastAsia="Times New Roman"/>
                <w:color w:val="000000"/>
              </w:rPr>
            </w:pPr>
            <w:r w:rsidRPr="007A2C8E">
              <w:rPr>
                <w:color w:val="000000"/>
              </w:rPr>
              <w:t xml:space="preserve">$1,434.03 </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20510A6" w14:textId="77777777" w:rsidR="000938A0" w:rsidRPr="007A2C8E" w:rsidRDefault="000938A0" w:rsidP="000623FF">
            <w:pPr>
              <w:widowControl/>
              <w:spacing w:after="0"/>
              <w:jc w:val="right"/>
              <w:rPr>
                <w:rFonts w:eastAsia="Times New Roman"/>
                <w:color w:val="000000"/>
              </w:rPr>
            </w:pPr>
            <w:r w:rsidRPr="007A2C8E">
              <w:rPr>
                <w:color w:val="000000"/>
              </w:rPr>
              <w:t xml:space="preserve">$1,525.81 </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075C6DD3" w14:textId="77777777" w:rsidR="000938A0" w:rsidRPr="007A2C8E" w:rsidRDefault="000938A0" w:rsidP="000623FF">
            <w:pPr>
              <w:widowControl/>
              <w:spacing w:after="0"/>
              <w:jc w:val="right"/>
              <w:rPr>
                <w:rFonts w:eastAsia="Times New Roman"/>
                <w:color w:val="000000"/>
              </w:rPr>
            </w:pPr>
            <w:r w:rsidRPr="007A2C8E">
              <w:rPr>
                <w:color w:val="000000"/>
              </w:rPr>
              <w:t xml:space="preserve">$1,623.46 </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FEDEFFF" w14:textId="77777777" w:rsidR="000938A0" w:rsidRPr="007A2C8E" w:rsidRDefault="000938A0" w:rsidP="000623FF">
            <w:pPr>
              <w:widowControl/>
              <w:spacing w:after="0"/>
              <w:jc w:val="right"/>
              <w:rPr>
                <w:rFonts w:eastAsia="Times New Roman"/>
                <w:color w:val="000000"/>
              </w:rPr>
            </w:pPr>
            <w:r w:rsidRPr="007A2C8E">
              <w:rPr>
                <w:color w:val="000000"/>
              </w:rPr>
              <w:t xml:space="preserve">$1,727.36 </w:t>
            </w:r>
          </w:p>
        </w:tc>
        <w:tc>
          <w:tcPr>
            <w:tcW w:w="77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661CFA40" w14:textId="77777777" w:rsidR="000938A0" w:rsidRPr="007A2C8E" w:rsidRDefault="000938A0" w:rsidP="000623FF">
            <w:pPr>
              <w:widowControl/>
              <w:spacing w:after="0"/>
              <w:jc w:val="right"/>
              <w:rPr>
                <w:rFonts w:eastAsia="Times New Roman"/>
                <w:color w:val="000000"/>
              </w:rPr>
            </w:pPr>
            <w:r w:rsidRPr="007A2C8E">
              <w:rPr>
                <w:color w:val="000000"/>
              </w:rPr>
              <w:t xml:space="preserve">$1,837.91 </w:t>
            </w:r>
          </w:p>
        </w:tc>
      </w:tr>
      <w:tr w:rsidR="00261A19" w:rsidRPr="007A2C8E" w14:paraId="145C5B47" w14:textId="77777777" w:rsidTr="000623FF">
        <w:trPr>
          <w:trHeight w:val="300"/>
        </w:trPr>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D9D9D9" w:themeFill="background1" w:themeFillShade="D9"/>
            <w:noWrap/>
            <w:vAlign w:val="bottom"/>
            <w:hideMark/>
          </w:tcPr>
          <w:p w14:paraId="641AD84B" w14:textId="77777777" w:rsidR="000938A0" w:rsidRPr="003C321A" w:rsidRDefault="000938A0" w:rsidP="000623FF">
            <w:pPr>
              <w:widowControl/>
              <w:spacing w:after="0"/>
              <w:jc w:val="right"/>
              <w:rPr>
                <w:rFonts w:eastAsia="Times New Roman"/>
                <w:i/>
                <w:iCs/>
                <w:color w:val="000000"/>
              </w:rPr>
            </w:pPr>
            <w:r w:rsidRPr="003C321A">
              <w:rPr>
                <w:rFonts w:eastAsia="Times New Roman"/>
                <w:i/>
                <w:iCs/>
                <w:color w:val="000000"/>
              </w:rPr>
              <w:lastRenderedPageBreak/>
              <w:t>Expenditures Subtotal</w:t>
            </w:r>
          </w:p>
        </w:tc>
        <w:tc>
          <w:tcPr>
            <w:tcW w:w="77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noWrap/>
            <w:vAlign w:val="bottom"/>
            <w:hideMark/>
          </w:tcPr>
          <w:p w14:paraId="74E8A483" w14:textId="77777777" w:rsidR="000938A0" w:rsidRPr="003C321A" w:rsidRDefault="000938A0" w:rsidP="000623FF">
            <w:pPr>
              <w:widowControl/>
              <w:spacing w:after="0"/>
              <w:jc w:val="right"/>
              <w:rPr>
                <w:rFonts w:eastAsia="Times New Roman"/>
                <w:i/>
                <w:iCs/>
                <w:color w:val="000000"/>
              </w:rPr>
            </w:pPr>
            <w:r>
              <w:rPr>
                <w:i/>
                <w:color w:val="000000"/>
              </w:rPr>
              <w:t xml:space="preserve"> $</w:t>
            </w:r>
            <w:r w:rsidRPr="00113801">
              <w:rPr>
                <w:i/>
                <w:color w:val="000000"/>
              </w:rPr>
              <w:t xml:space="preserve">23,453,561 </w:t>
            </w:r>
          </w:p>
        </w:tc>
        <w:tc>
          <w:tcPr>
            <w:tcW w:w="77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noWrap/>
            <w:vAlign w:val="bottom"/>
            <w:hideMark/>
          </w:tcPr>
          <w:p w14:paraId="1BFC3725" w14:textId="77777777" w:rsidR="000938A0" w:rsidRPr="003C321A" w:rsidRDefault="000938A0" w:rsidP="000623FF">
            <w:pPr>
              <w:widowControl/>
              <w:spacing w:after="0"/>
              <w:jc w:val="right"/>
              <w:rPr>
                <w:rFonts w:eastAsia="Times New Roman"/>
                <w:i/>
                <w:iCs/>
                <w:color w:val="000000"/>
              </w:rPr>
            </w:pPr>
            <w:r w:rsidRPr="00113801">
              <w:rPr>
                <w:i/>
                <w:color w:val="000000"/>
              </w:rPr>
              <w:t xml:space="preserve"> $25,204,855 </w:t>
            </w:r>
          </w:p>
        </w:tc>
        <w:tc>
          <w:tcPr>
            <w:tcW w:w="77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noWrap/>
            <w:vAlign w:val="bottom"/>
            <w:hideMark/>
          </w:tcPr>
          <w:p w14:paraId="35DC3C2A" w14:textId="77777777" w:rsidR="000938A0" w:rsidRPr="003C321A" w:rsidRDefault="000938A0" w:rsidP="000623FF">
            <w:pPr>
              <w:widowControl/>
              <w:spacing w:after="0"/>
              <w:jc w:val="right"/>
              <w:rPr>
                <w:rFonts w:eastAsia="Times New Roman"/>
                <w:i/>
                <w:iCs/>
                <w:color w:val="000000"/>
              </w:rPr>
            </w:pPr>
            <w:r w:rsidRPr="00113801">
              <w:rPr>
                <w:i/>
                <w:color w:val="000000"/>
              </w:rPr>
              <w:t xml:space="preserve"> </w:t>
            </w:r>
            <w:r>
              <w:rPr>
                <w:i/>
                <w:color w:val="000000"/>
              </w:rPr>
              <w:t>$</w:t>
            </w:r>
            <w:r w:rsidRPr="00113801">
              <w:rPr>
                <w:i/>
                <w:color w:val="000000"/>
              </w:rPr>
              <w:t xml:space="preserve">27,085,807 </w:t>
            </w:r>
          </w:p>
        </w:tc>
        <w:tc>
          <w:tcPr>
            <w:tcW w:w="77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noWrap/>
            <w:vAlign w:val="bottom"/>
            <w:hideMark/>
          </w:tcPr>
          <w:p w14:paraId="5CFCFA29" w14:textId="77777777" w:rsidR="000938A0" w:rsidRPr="003C321A" w:rsidRDefault="000938A0" w:rsidP="000623FF">
            <w:pPr>
              <w:widowControl/>
              <w:spacing w:after="0"/>
              <w:jc w:val="right"/>
              <w:rPr>
                <w:rFonts w:eastAsia="Times New Roman"/>
                <w:i/>
                <w:iCs/>
                <w:color w:val="000000"/>
              </w:rPr>
            </w:pPr>
            <w:r>
              <w:rPr>
                <w:i/>
                <w:color w:val="000000"/>
              </w:rPr>
              <w:t xml:space="preserve"> $</w:t>
            </w:r>
            <w:r w:rsidRPr="00113801">
              <w:rPr>
                <w:i/>
                <w:color w:val="000000"/>
              </w:rPr>
              <w:t xml:space="preserve">29,107,743 </w:t>
            </w:r>
          </w:p>
        </w:tc>
        <w:tc>
          <w:tcPr>
            <w:tcW w:w="77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7015EE1A" w14:textId="77777777" w:rsidR="000938A0" w:rsidRPr="003C321A" w:rsidRDefault="000938A0" w:rsidP="000623FF">
            <w:pPr>
              <w:widowControl/>
              <w:spacing w:after="0"/>
              <w:jc w:val="right"/>
              <w:rPr>
                <w:rFonts w:eastAsia="Times New Roman"/>
                <w:i/>
                <w:iCs/>
                <w:color w:val="000000"/>
              </w:rPr>
            </w:pPr>
            <w:r>
              <w:rPr>
                <w:i/>
                <w:color w:val="000000"/>
              </w:rPr>
              <w:t xml:space="preserve"> $</w:t>
            </w:r>
            <w:r w:rsidRPr="00113801">
              <w:rPr>
                <w:i/>
                <w:color w:val="000000"/>
              </w:rPr>
              <w:t xml:space="preserve">31,281,228 </w:t>
            </w:r>
          </w:p>
        </w:tc>
      </w:tr>
      <w:tr w:rsidR="00261A19" w:rsidRPr="007A2C8E" w14:paraId="4CA05B70" w14:textId="77777777" w:rsidTr="000623FF">
        <w:trPr>
          <w:trHeight w:val="300"/>
        </w:trPr>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bottom"/>
          </w:tcPr>
          <w:p w14:paraId="05F94EC8" w14:textId="3E0DCA77" w:rsidR="00261A19" w:rsidRPr="000623FF" w:rsidRDefault="00261A19">
            <w:pPr>
              <w:widowControl/>
              <w:spacing w:after="0"/>
              <w:rPr>
                <w:rFonts w:eastAsia="Times New Roman"/>
                <w:b/>
                <w:i/>
                <w:iCs/>
                <w:color w:val="000000"/>
              </w:rPr>
            </w:pPr>
            <w:r w:rsidRPr="000623FF">
              <w:rPr>
                <w:rFonts w:eastAsia="Times New Roman"/>
                <w:b/>
                <w:i/>
                <w:iCs/>
                <w:color w:val="000000"/>
              </w:rPr>
              <w:t>Reentry Juvenile Population</w:t>
            </w:r>
          </w:p>
        </w:tc>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bottom"/>
          </w:tcPr>
          <w:p w14:paraId="484FF159" w14:textId="77777777" w:rsidR="00261A19" w:rsidRDefault="00261A19" w:rsidP="000623FF">
            <w:pPr>
              <w:widowControl/>
              <w:spacing w:after="0"/>
              <w:jc w:val="right"/>
              <w:rPr>
                <w:i/>
                <w:color w:val="000000"/>
              </w:rPr>
            </w:pPr>
          </w:p>
        </w:tc>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bottom"/>
          </w:tcPr>
          <w:p w14:paraId="3DEAC0FE" w14:textId="77777777" w:rsidR="00261A19" w:rsidRPr="00113801" w:rsidRDefault="00261A19" w:rsidP="000623FF">
            <w:pPr>
              <w:widowControl/>
              <w:spacing w:after="0"/>
              <w:jc w:val="right"/>
              <w:rPr>
                <w:i/>
                <w:color w:val="000000"/>
              </w:rPr>
            </w:pPr>
          </w:p>
        </w:tc>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bottom"/>
          </w:tcPr>
          <w:p w14:paraId="71FAAC0F" w14:textId="77777777" w:rsidR="00261A19" w:rsidRPr="00113801" w:rsidRDefault="00261A19" w:rsidP="000623FF">
            <w:pPr>
              <w:widowControl/>
              <w:spacing w:after="0"/>
              <w:jc w:val="right"/>
              <w:rPr>
                <w:i/>
                <w:color w:val="000000"/>
              </w:rPr>
            </w:pPr>
          </w:p>
        </w:tc>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bottom"/>
          </w:tcPr>
          <w:p w14:paraId="38A7A8D8" w14:textId="77777777" w:rsidR="00261A19" w:rsidRDefault="00261A19" w:rsidP="000623FF">
            <w:pPr>
              <w:widowControl/>
              <w:spacing w:after="0"/>
              <w:jc w:val="right"/>
              <w:rPr>
                <w:i/>
                <w:color w:val="000000"/>
              </w:rPr>
            </w:pPr>
          </w:p>
        </w:tc>
        <w:tc>
          <w:tcPr>
            <w:tcW w:w="7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bottom"/>
          </w:tcPr>
          <w:p w14:paraId="130547CE" w14:textId="77777777" w:rsidR="00261A19" w:rsidRDefault="00261A19" w:rsidP="000623FF">
            <w:pPr>
              <w:widowControl/>
              <w:spacing w:after="0"/>
              <w:jc w:val="right"/>
              <w:rPr>
                <w:i/>
                <w:color w:val="000000"/>
              </w:rPr>
            </w:pPr>
          </w:p>
        </w:tc>
      </w:tr>
      <w:tr w:rsidR="00261A19" w:rsidRPr="007A2C8E" w14:paraId="185ACC18" w14:textId="77777777" w:rsidTr="000623FF">
        <w:trPr>
          <w:trHeight w:val="300"/>
        </w:trPr>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0175F89D" w14:textId="77777777" w:rsidR="000938A0" w:rsidRPr="007A2C8E" w:rsidRDefault="000938A0" w:rsidP="000623FF">
            <w:pPr>
              <w:widowControl/>
              <w:spacing w:after="0"/>
              <w:rPr>
                <w:rFonts w:eastAsia="Times New Roman"/>
                <w:color w:val="000000"/>
              </w:rPr>
            </w:pPr>
            <w:r w:rsidRPr="007A2C8E">
              <w:rPr>
                <w:rFonts w:eastAsia="Times New Roman"/>
                <w:color w:val="000000"/>
              </w:rPr>
              <w:t>Eligible Member Months</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5CF56DC" w14:textId="77777777" w:rsidR="000938A0" w:rsidRPr="007A2C8E" w:rsidRDefault="000938A0" w:rsidP="000623FF">
            <w:pPr>
              <w:widowControl/>
              <w:spacing w:after="0"/>
              <w:jc w:val="right"/>
              <w:rPr>
                <w:rFonts w:eastAsia="Times New Roman"/>
                <w:color w:val="000000"/>
              </w:rPr>
            </w:pPr>
            <w:r w:rsidRPr="007A2C8E">
              <w:rPr>
                <w:rFonts w:eastAsia="Times New Roman"/>
                <w:color w:val="000000"/>
              </w:rPr>
              <w:t>99</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1E43F5C4" w14:textId="77777777" w:rsidR="000938A0" w:rsidRPr="007A2C8E" w:rsidRDefault="000938A0" w:rsidP="000623FF">
            <w:pPr>
              <w:widowControl/>
              <w:spacing w:after="0"/>
              <w:jc w:val="right"/>
              <w:rPr>
                <w:rFonts w:eastAsia="Times New Roman"/>
                <w:color w:val="000000"/>
              </w:rPr>
            </w:pPr>
            <w:r>
              <w:rPr>
                <w:rFonts w:eastAsia="Times New Roman"/>
                <w:color w:val="000000"/>
              </w:rPr>
              <w:t>100</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03815E4" w14:textId="77777777" w:rsidR="000938A0" w:rsidRPr="007A2C8E" w:rsidRDefault="000938A0" w:rsidP="000623FF">
            <w:pPr>
              <w:widowControl/>
              <w:spacing w:after="0"/>
              <w:jc w:val="right"/>
              <w:rPr>
                <w:rFonts w:eastAsia="Times New Roman"/>
                <w:color w:val="000000"/>
              </w:rPr>
            </w:pPr>
            <w:r>
              <w:rPr>
                <w:rFonts w:eastAsia="Times New Roman"/>
                <w:color w:val="000000"/>
              </w:rPr>
              <w:t>101</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2AC9811" w14:textId="77777777" w:rsidR="000938A0" w:rsidRPr="007A2C8E" w:rsidRDefault="000938A0" w:rsidP="000623FF">
            <w:pPr>
              <w:widowControl/>
              <w:spacing w:after="0"/>
              <w:jc w:val="right"/>
              <w:rPr>
                <w:rFonts w:eastAsia="Times New Roman"/>
                <w:color w:val="000000"/>
              </w:rPr>
            </w:pPr>
            <w:r>
              <w:rPr>
                <w:rFonts w:eastAsia="Times New Roman"/>
                <w:color w:val="000000"/>
              </w:rPr>
              <w:t>102</w:t>
            </w:r>
          </w:p>
        </w:tc>
        <w:tc>
          <w:tcPr>
            <w:tcW w:w="77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6252AA44" w14:textId="77777777" w:rsidR="000938A0" w:rsidRPr="007A2C8E" w:rsidRDefault="000938A0" w:rsidP="000623FF">
            <w:pPr>
              <w:widowControl/>
              <w:spacing w:after="0"/>
              <w:jc w:val="right"/>
              <w:rPr>
                <w:rFonts w:eastAsia="Times New Roman"/>
                <w:color w:val="000000"/>
              </w:rPr>
            </w:pPr>
            <w:r>
              <w:rPr>
                <w:rFonts w:eastAsia="Times New Roman"/>
                <w:color w:val="000000"/>
              </w:rPr>
              <w:t>103</w:t>
            </w:r>
          </w:p>
        </w:tc>
      </w:tr>
      <w:tr w:rsidR="00261A19" w:rsidRPr="007A2C8E" w14:paraId="2B44A3A4" w14:textId="77777777" w:rsidTr="000623FF">
        <w:trPr>
          <w:trHeight w:val="300"/>
        </w:trPr>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6E5482F1" w14:textId="77777777" w:rsidR="000938A0" w:rsidRPr="007A2C8E" w:rsidRDefault="000938A0" w:rsidP="000623FF">
            <w:pPr>
              <w:widowControl/>
              <w:spacing w:after="0"/>
              <w:rPr>
                <w:rFonts w:eastAsia="Times New Roman"/>
                <w:color w:val="000000"/>
              </w:rPr>
            </w:pPr>
            <w:r w:rsidRPr="007A2C8E">
              <w:rPr>
                <w:rFonts w:eastAsia="Times New Roman"/>
                <w:color w:val="000000"/>
              </w:rPr>
              <w:t>PMPM Cost</w:t>
            </w:r>
          </w:p>
        </w:tc>
        <w:tc>
          <w:tcPr>
            <w:tcW w:w="77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3B3049AB" w14:textId="77777777" w:rsidR="000938A0" w:rsidRPr="007A2C8E" w:rsidRDefault="000938A0" w:rsidP="000623FF">
            <w:pPr>
              <w:widowControl/>
              <w:spacing w:after="0"/>
              <w:jc w:val="right"/>
              <w:rPr>
                <w:rFonts w:eastAsia="Times New Roman"/>
                <w:color w:val="000000"/>
              </w:rPr>
            </w:pPr>
            <w:r w:rsidRPr="007A2C8E">
              <w:rPr>
                <w:color w:val="000000"/>
              </w:rPr>
              <w:t xml:space="preserve">$2,872.40 </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4686F12C" w14:textId="77777777" w:rsidR="000938A0" w:rsidRPr="007A2C8E" w:rsidRDefault="000938A0" w:rsidP="000623FF">
            <w:pPr>
              <w:widowControl/>
              <w:spacing w:after="0"/>
              <w:jc w:val="right"/>
              <w:rPr>
                <w:rFonts w:eastAsia="Times New Roman"/>
                <w:color w:val="000000"/>
              </w:rPr>
            </w:pPr>
            <w:r w:rsidRPr="007A2C8E">
              <w:rPr>
                <w:color w:val="000000"/>
              </w:rPr>
              <w:t xml:space="preserve">$3,039.00 </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41DF0CD6" w14:textId="77777777" w:rsidR="000938A0" w:rsidRPr="007A2C8E" w:rsidRDefault="000938A0" w:rsidP="000623FF">
            <w:pPr>
              <w:widowControl/>
              <w:spacing w:after="0"/>
              <w:jc w:val="right"/>
              <w:rPr>
                <w:rFonts w:eastAsia="Times New Roman"/>
                <w:color w:val="000000"/>
              </w:rPr>
            </w:pPr>
            <w:r w:rsidRPr="007A2C8E">
              <w:rPr>
                <w:color w:val="000000"/>
              </w:rPr>
              <w:t xml:space="preserve">$3,215.26 </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4FC3E24" w14:textId="77777777" w:rsidR="000938A0" w:rsidRPr="007A2C8E" w:rsidRDefault="000938A0" w:rsidP="000623FF">
            <w:pPr>
              <w:widowControl/>
              <w:spacing w:after="0"/>
              <w:jc w:val="right"/>
              <w:rPr>
                <w:rFonts w:eastAsia="Times New Roman"/>
                <w:color w:val="000000"/>
              </w:rPr>
            </w:pPr>
            <w:r w:rsidRPr="007A2C8E">
              <w:rPr>
                <w:color w:val="000000"/>
              </w:rPr>
              <w:t xml:space="preserve">$3,401.75 </w:t>
            </w:r>
          </w:p>
        </w:tc>
        <w:tc>
          <w:tcPr>
            <w:tcW w:w="77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7BE8C118" w14:textId="77777777" w:rsidR="000938A0" w:rsidRPr="007A2C8E" w:rsidRDefault="000938A0" w:rsidP="000623FF">
            <w:pPr>
              <w:widowControl/>
              <w:spacing w:after="0"/>
              <w:jc w:val="right"/>
              <w:rPr>
                <w:rFonts w:eastAsia="Times New Roman"/>
                <w:color w:val="000000"/>
              </w:rPr>
            </w:pPr>
            <w:r w:rsidRPr="007A2C8E">
              <w:rPr>
                <w:color w:val="000000"/>
              </w:rPr>
              <w:t xml:space="preserve">$3,599.05 </w:t>
            </w:r>
          </w:p>
        </w:tc>
      </w:tr>
      <w:tr w:rsidR="00261A19" w:rsidRPr="007A2C8E" w14:paraId="415F0B02" w14:textId="77777777" w:rsidTr="000623FF">
        <w:trPr>
          <w:trHeight w:val="300"/>
        </w:trPr>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000000" w:fill="D9D9D9"/>
            <w:noWrap/>
            <w:vAlign w:val="bottom"/>
            <w:hideMark/>
          </w:tcPr>
          <w:p w14:paraId="0346900A" w14:textId="77777777" w:rsidR="000938A0" w:rsidRPr="007A2C8E" w:rsidRDefault="000938A0" w:rsidP="000623FF">
            <w:pPr>
              <w:widowControl/>
              <w:spacing w:after="0"/>
              <w:jc w:val="right"/>
              <w:rPr>
                <w:rFonts w:eastAsia="Times New Roman"/>
                <w:i/>
                <w:iCs/>
                <w:color w:val="000000"/>
              </w:rPr>
            </w:pPr>
            <w:r w:rsidRPr="007A2C8E">
              <w:rPr>
                <w:rFonts w:eastAsia="Times New Roman"/>
                <w:i/>
                <w:iCs/>
                <w:color w:val="000000"/>
              </w:rPr>
              <w:t>Expenditures Subtotal</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000000" w:fill="D9D9D9"/>
            <w:noWrap/>
            <w:vAlign w:val="bottom"/>
            <w:hideMark/>
          </w:tcPr>
          <w:p w14:paraId="451091B8" w14:textId="77777777" w:rsidR="000938A0" w:rsidRPr="007A2C8E" w:rsidRDefault="000938A0" w:rsidP="000623FF">
            <w:pPr>
              <w:widowControl/>
              <w:spacing w:after="0"/>
              <w:jc w:val="right"/>
              <w:rPr>
                <w:rFonts w:eastAsia="Times New Roman"/>
                <w:i/>
                <w:iCs/>
                <w:color w:val="000000"/>
              </w:rPr>
            </w:pPr>
            <w:r w:rsidRPr="007A2C8E">
              <w:rPr>
                <w:rFonts w:eastAsia="Times New Roman"/>
                <w:i/>
                <w:iCs/>
                <w:color w:val="000000"/>
              </w:rPr>
              <w:t>$284,368</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000000" w:fill="D9D9D9"/>
            <w:noWrap/>
            <w:vAlign w:val="bottom"/>
            <w:hideMark/>
          </w:tcPr>
          <w:p w14:paraId="27B321A1" w14:textId="77777777" w:rsidR="000938A0" w:rsidRPr="007A2C8E" w:rsidRDefault="000938A0" w:rsidP="000623FF">
            <w:pPr>
              <w:widowControl/>
              <w:spacing w:after="0"/>
              <w:jc w:val="right"/>
              <w:rPr>
                <w:rFonts w:eastAsia="Times New Roman"/>
                <w:i/>
                <w:iCs/>
                <w:color w:val="000000"/>
              </w:rPr>
            </w:pPr>
            <w:r w:rsidRPr="007A2C8E">
              <w:rPr>
                <w:rFonts w:eastAsia="Times New Roman"/>
                <w:i/>
                <w:iCs/>
                <w:color w:val="000000"/>
              </w:rPr>
              <w:t>$30</w:t>
            </w:r>
            <w:r>
              <w:rPr>
                <w:rFonts w:eastAsia="Times New Roman"/>
                <w:i/>
                <w:iCs/>
                <w:color w:val="000000"/>
              </w:rPr>
              <w:t>3</w:t>
            </w:r>
            <w:r w:rsidRPr="007A2C8E">
              <w:rPr>
                <w:rFonts w:eastAsia="Times New Roman"/>
                <w:i/>
                <w:iCs/>
                <w:color w:val="000000"/>
              </w:rPr>
              <w:t>,</w:t>
            </w:r>
            <w:r>
              <w:rPr>
                <w:rFonts w:eastAsia="Times New Roman"/>
                <w:i/>
                <w:iCs/>
                <w:color w:val="000000"/>
              </w:rPr>
              <w:t>900</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000000" w:fill="D9D9D9"/>
            <w:noWrap/>
            <w:vAlign w:val="bottom"/>
            <w:hideMark/>
          </w:tcPr>
          <w:p w14:paraId="1E1DE98B" w14:textId="77777777" w:rsidR="000938A0" w:rsidRPr="007A2C8E" w:rsidRDefault="000938A0" w:rsidP="000623FF">
            <w:pPr>
              <w:widowControl/>
              <w:spacing w:after="0"/>
              <w:jc w:val="right"/>
              <w:rPr>
                <w:rFonts w:eastAsia="Times New Roman"/>
                <w:i/>
                <w:iCs/>
                <w:color w:val="000000"/>
              </w:rPr>
            </w:pPr>
            <w:r w:rsidRPr="007A2C8E">
              <w:rPr>
                <w:rFonts w:eastAsia="Times New Roman"/>
                <w:i/>
                <w:iCs/>
                <w:color w:val="000000"/>
              </w:rPr>
              <w:t>$3</w:t>
            </w:r>
            <w:r>
              <w:rPr>
                <w:rFonts w:eastAsia="Times New Roman"/>
                <w:i/>
                <w:iCs/>
                <w:color w:val="000000"/>
              </w:rPr>
              <w:t>24</w:t>
            </w:r>
            <w:r w:rsidRPr="007A2C8E">
              <w:rPr>
                <w:rFonts w:eastAsia="Times New Roman"/>
                <w:i/>
                <w:iCs/>
                <w:color w:val="000000"/>
              </w:rPr>
              <w:t>,</w:t>
            </w:r>
            <w:r>
              <w:rPr>
                <w:rFonts w:eastAsia="Times New Roman"/>
                <w:i/>
                <w:iCs/>
                <w:color w:val="000000"/>
              </w:rPr>
              <w:t>741</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000000" w:fill="D9D9D9"/>
            <w:noWrap/>
            <w:vAlign w:val="bottom"/>
            <w:hideMark/>
          </w:tcPr>
          <w:p w14:paraId="7C953AFB" w14:textId="77777777" w:rsidR="000938A0" w:rsidRPr="007A2C8E" w:rsidRDefault="000938A0" w:rsidP="000623FF">
            <w:pPr>
              <w:widowControl/>
              <w:spacing w:after="0"/>
              <w:jc w:val="right"/>
              <w:rPr>
                <w:rFonts w:eastAsia="Times New Roman"/>
                <w:i/>
                <w:iCs/>
                <w:color w:val="000000"/>
              </w:rPr>
            </w:pPr>
            <w:r w:rsidRPr="007A2C8E">
              <w:rPr>
                <w:rFonts w:eastAsia="Times New Roman"/>
                <w:i/>
                <w:iCs/>
                <w:color w:val="000000"/>
              </w:rPr>
              <w:t>$3</w:t>
            </w:r>
            <w:r>
              <w:rPr>
                <w:rFonts w:eastAsia="Times New Roman"/>
                <w:i/>
                <w:iCs/>
                <w:color w:val="000000"/>
              </w:rPr>
              <w:t>4</w:t>
            </w:r>
            <w:r w:rsidRPr="007A2C8E">
              <w:rPr>
                <w:rFonts w:eastAsia="Times New Roman"/>
                <w:i/>
                <w:iCs/>
                <w:color w:val="000000"/>
              </w:rPr>
              <w:t>6</w:t>
            </w:r>
            <w:r>
              <w:rPr>
                <w:rFonts w:eastAsia="Times New Roman"/>
                <w:i/>
                <w:iCs/>
                <w:color w:val="000000"/>
              </w:rPr>
              <w:t>,979</w:t>
            </w:r>
          </w:p>
        </w:tc>
        <w:tc>
          <w:tcPr>
            <w:tcW w:w="77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D9D9D9"/>
            <w:noWrap/>
            <w:vAlign w:val="bottom"/>
            <w:hideMark/>
          </w:tcPr>
          <w:p w14:paraId="0404A5F3" w14:textId="77777777" w:rsidR="000938A0" w:rsidRPr="007A2C8E" w:rsidRDefault="000938A0" w:rsidP="000623FF">
            <w:pPr>
              <w:widowControl/>
              <w:spacing w:after="0"/>
              <w:jc w:val="right"/>
              <w:rPr>
                <w:rFonts w:eastAsia="Times New Roman"/>
                <w:i/>
                <w:iCs/>
                <w:color w:val="000000"/>
              </w:rPr>
            </w:pPr>
            <w:r w:rsidRPr="007A2C8E">
              <w:rPr>
                <w:rFonts w:eastAsia="Times New Roman"/>
                <w:i/>
                <w:iCs/>
                <w:color w:val="000000"/>
              </w:rPr>
              <w:t>$3</w:t>
            </w:r>
            <w:r>
              <w:rPr>
                <w:rFonts w:eastAsia="Times New Roman"/>
                <w:i/>
                <w:iCs/>
                <w:color w:val="000000"/>
              </w:rPr>
              <w:t>70</w:t>
            </w:r>
            <w:r w:rsidRPr="007A2C8E">
              <w:rPr>
                <w:rFonts w:eastAsia="Times New Roman"/>
                <w:i/>
                <w:iCs/>
                <w:color w:val="000000"/>
              </w:rPr>
              <w:t>,</w:t>
            </w:r>
            <w:r>
              <w:rPr>
                <w:rFonts w:eastAsia="Times New Roman"/>
                <w:i/>
                <w:iCs/>
                <w:color w:val="000000"/>
              </w:rPr>
              <w:t>702</w:t>
            </w:r>
          </w:p>
        </w:tc>
      </w:tr>
      <w:tr w:rsidR="00261A19" w:rsidRPr="003C321A" w14:paraId="0FE7D73C" w14:textId="77777777" w:rsidTr="000623FF">
        <w:trPr>
          <w:trHeight w:val="300"/>
        </w:trPr>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093865"/>
            <w:noWrap/>
            <w:vAlign w:val="bottom"/>
            <w:hideMark/>
          </w:tcPr>
          <w:p w14:paraId="76361A40" w14:textId="77777777" w:rsidR="000938A0" w:rsidRPr="003C321A" w:rsidRDefault="000938A0" w:rsidP="000623FF">
            <w:pPr>
              <w:widowControl/>
              <w:spacing w:after="0"/>
              <w:jc w:val="right"/>
              <w:rPr>
                <w:rFonts w:eastAsia="Times New Roman"/>
                <w:b/>
                <w:bCs/>
                <w:i/>
                <w:iCs/>
                <w:color w:val="FFFFFF"/>
              </w:rPr>
            </w:pPr>
            <w:r w:rsidRPr="003C321A">
              <w:rPr>
                <w:rFonts w:eastAsia="Times New Roman"/>
                <w:b/>
                <w:bCs/>
                <w:i/>
                <w:iCs/>
                <w:color w:val="FFFFFF"/>
              </w:rPr>
              <w:t>Total Reentry Expenditures</w:t>
            </w:r>
          </w:p>
        </w:tc>
        <w:tc>
          <w:tcPr>
            <w:tcW w:w="77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093865"/>
            <w:noWrap/>
            <w:vAlign w:val="bottom"/>
            <w:hideMark/>
          </w:tcPr>
          <w:p w14:paraId="1499F0E1" w14:textId="77777777" w:rsidR="000938A0" w:rsidRPr="003C321A" w:rsidRDefault="000938A0" w:rsidP="000623FF">
            <w:pPr>
              <w:widowControl/>
              <w:spacing w:after="0"/>
              <w:jc w:val="right"/>
              <w:rPr>
                <w:rFonts w:eastAsia="Times New Roman"/>
                <w:b/>
                <w:bCs/>
                <w:i/>
                <w:iCs/>
                <w:color w:val="FFFFFF"/>
              </w:rPr>
            </w:pPr>
            <w:r w:rsidRPr="00113801">
              <w:rPr>
                <w:b/>
                <w:bCs/>
                <w:i/>
                <w:iCs/>
                <w:color w:val="FFFFFF"/>
              </w:rPr>
              <w:t>$23,737,929</w:t>
            </w:r>
          </w:p>
        </w:tc>
        <w:tc>
          <w:tcPr>
            <w:tcW w:w="774"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093865"/>
            <w:noWrap/>
            <w:vAlign w:val="bottom"/>
            <w:hideMark/>
          </w:tcPr>
          <w:p w14:paraId="70BAA34E" w14:textId="77777777" w:rsidR="000938A0" w:rsidRPr="00CA0AF3" w:rsidRDefault="000938A0" w:rsidP="000623FF">
            <w:pPr>
              <w:widowControl/>
              <w:spacing w:after="0"/>
              <w:jc w:val="right"/>
              <w:rPr>
                <w:rFonts w:eastAsia="Times New Roman"/>
                <w:b/>
                <w:bCs/>
                <w:i/>
                <w:iCs/>
                <w:color w:val="FFFFFF"/>
              </w:rPr>
            </w:pPr>
            <w:r w:rsidRPr="00113801">
              <w:rPr>
                <w:b/>
                <w:bCs/>
                <w:i/>
                <w:iCs/>
                <w:color w:val="FFFFFF"/>
              </w:rPr>
              <w:t>$25,508,755</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093865"/>
            <w:noWrap/>
            <w:vAlign w:val="bottom"/>
            <w:hideMark/>
          </w:tcPr>
          <w:p w14:paraId="4317D0AF" w14:textId="77777777" w:rsidR="000938A0" w:rsidRPr="00CA0AF3" w:rsidRDefault="000938A0" w:rsidP="000623FF">
            <w:pPr>
              <w:widowControl/>
              <w:spacing w:after="0"/>
              <w:jc w:val="right"/>
              <w:rPr>
                <w:rFonts w:eastAsia="Times New Roman"/>
                <w:b/>
                <w:bCs/>
                <w:i/>
                <w:iCs/>
                <w:color w:val="FFFFFF"/>
              </w:rPr>
            </w:pPr>
            <w:r w:rsidRPr="00113801">
              <w:rPr>
                <w:b/>
                <w:bCs/>
                <w:i/>
                <w:iCs/>
                <w:color w:val="FFFFFF"/>
              </w:rPr>
              <w:t>$27,410,548</w:t>
            </w:r>
          </w:p>
        </w:tc>
        <w:tc>
          <w:tcPr>
            <w:tcW w:w="774"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093865"/>
            <w:noWrap/>
            <w:vAlign w:val="bottom"/>
            <w:hideMark/>
          </w:tcPr>
          <w:p w14:paraId="03ADB267" w14:textId="77777777" w:rsidR="000938A0" w:rsidRPr="00CA0AF3" w:rsidRDefault="000938A0" w:rsidP="000623FF">
            <w:pPr>
              <w:widowControl/>
              <w:spacing w:after="0"/>
              <w:jc w:val="right"/>
              <w:rPr>
                <w:rFonts w:eastAsia="Times New Roman"/>
                <w:b/>
                <w:bCs/>
                <w:i/>
                <w:iCs/>
                <w:color w:val="FFFFFF"/>
              </w:rPr>
            </w:pPr>
            <w:r w:rsidRPr="00113801">
              <w:rPr>
                <w:b/>
                <w:bCs/>
                <w:i/>
                <w:iCs/>
                <w:color w:val="FFFFFF"/>
              </w:rPr>
              <w:t>$29,454,722</w:t>
            </w:r>
          </w:p>
        </w:tc>
        <w:tc>
          <w:tcPr>
            <w:tcW w:w="77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93865"/>
            <w:noWrap/>
            <w:vAlign w:val="bottom"/>
            <w:hideMark/>
          </w:tcPr>
          <w:p w14:paraId="39A1D151" w14:textId="77777777" w:rsidR="000938A0" w:rsidRPr="00CA0AF3" w:rsidRDefault="000938A0" w:rsidP="000623FF">
            <w:pPr>
              <w:widowControl/>
              <w:spacing w:after="0"/>
              <w:jc w:val="right"/>
              <w:rPr>
                <w:rFonts w:eastAsia="Times New Roman"/>
                <w:b/>
                <w:bCs/>
                <w:i/>
                <w:iCs/>
                <w:color w:val="FFFFFF"/>
              </w:rPr>
            </w:pPr>
            <w:r w:rsidRPr="00113801">
              <w:rPr>
                <w:b/>
                <w:bCs/>
                <w:i/>
                <w:iCs/>
                <w:color w:val="FFFFFF"/>
              </w:rPr>
              <w:t>$31,651,930</w:t>
            </w:r>
          </w:p>
        </w:tc>
      </w:tr>
    </w:tbl>
    <w:p w14:paraId="3D0733E7" w14:textId="72064FB4" w:rsidR="00F22468" w:rsidRDefault="00F22468" w:rsidP="000B30BA">
      <w:pPr>
        <w:pStyle w:val="Heading2"/>
        <w:spacing w:before="240"/>
      </w:pPr>
      <w:bookmarkStart w:id="34" w:name="_Toc150417380"/>
      <w:r>
        <w:t>Reinvestment Plan</w:t>
      </w:r>
      <w:bookmarkEnd w:id="34"/>
    </w:p>
    <w:p w14:paraId="585F0A85" w14:textId="4767E908" w:rsidR="00FB5B68" w:rsidRPr="00873A52" w:rsidRDefault="00873A52" w:rsidP="00272214">
      <w:r>
        <w:t xml:space="preserve">Consistent with SMDL #23-003, the Commonwealth will commit </w:t>
      </w:r>
      <w:r w:rsidR="0077642A" w:rsidRPr="00873A52">
        <w:t>t</w:t>
      </w:r>
      <w:r w:rsidR="0077642A">
        <w:t xml:space="preserve">o </w:t>
      </w:r>
      <w:r w:rsidR="0077642A" w:rsidRPr="00873A52">
        <w:t>develop</w:t>
      </w:r>
      <w:r w:rsidR="0077642A">
        <w:t>ing</w:t>
      </w:r>
      <w:r w:rsidR="0077642A" w:rsidRPr="00873A52">
        <w:t xml:space="preserve"> and submit</w:t>
      </w:r>
      <w:r w:rsidR="0077642A">
        <w:t>ting</w:t>
      </w:r>
      <w:r w:rsidR="0077642A" w:rsidRPr="00873A52">
        <w:t xml:space="preserve"> </w:t>
      </w:r>
      <w:r w:rsidR="0077642A">
        <w:t xml:space="preserve">a reinvestment </w:t>
      </w:r>
      <w:r w:rsidR="0077642A" w:rsidRPr="00873A52">
        <w:t>plan for CMS approval during the post-approval period</w:t>
      </w:r>
      <w:r w:rsidR="0077642A">
        <w:t xml:space="preserve"> </w:t>
      </w:r>
      <w:r>
        <w:t xml:space="preserve">at the </w:t>
      </w:r>
      <w:r w:rsidRPr="00873A52">
        <w:t xml:space="preserve">time of the </w:t>
      </w:r>
      <w:r w:rsidR="0011491D">
        <w:t xml:space="preserve">Proposed Reentry Demonstration’s </w:t>
      </w:r>
      <w:r w:rsidRPr="00873A52">
        <w:t>approval.</w:t>
      </w:r>
      <w:r>
        <w:t xml:space="preserve"> The plan will be developed in coordination with key stakeholders (e.g., DOC, DJJ, MCOs</w:t>
      </w:r>
      <w:r w:rsidR="00D54012">
        <w:t>, and sister agencies</w:t>
      </w:r>
      <w:r>
        <w:t>)</w:t>
      </w:r>
      <w:r w:rsidR="00FB5B68">
        <w:t>,</w:t>
      </w:r>
      <w:r>
        <w:t xml:space="preserve"> and will </w:t>
      </w:r>
      <w:r w:rsidRPr="00873A52">
        <w:t xml:space="preserve">outline how the federal matching funds under the </w:t>
      </w:r>
      <w:r>
        <w:t>waiver</w:t>
      </w:r>
      <w:r w:rsidRPr="00873A52">
        <w:t xml:space="preserve"> will be reinvested t</w:t>
      </w:r>
      <w:r>
        <w:t xml:space="preserve">hroughout </w:t>
      </w:r>
      <w:r w:rsidRPr="00873A52">
        <w:t xml:space="preserve">the </w:t>
      </w:r>
      <w:r>
        <w:t>approval</w:t>
      </w:r>
      <w:r w:rsidRPr="00873A52">
        <w:t xml:space="preserve"> period. </w:t>
      </w:r>
      <w:r>
        <w:t xml:space="preserve">DMS believes there are considerable opportunities to leverage existing carceral health care services funded with State </w:t>
      </w:r>
      <w:r w:rsidR="0082760F">
        <w:t xml:space="preserve">and/or local </w:t>
      </w:r>
      <w:r>
        <w:t xml:space="preserve">dollars (e.g., pre-release MAT, medication supply upon release) </w:t>
      </w:r>
      <w:r w:rsidRPr="00873A52">
        <w:t>to reinvest the total amount of federal matching f</w:t>
      </w:r>
      <w:r>
        <w:t xml:space="preserve">unds received for such services </w:t>
      </w:r>
      <w:r w:rsidRPr="00873A52">
        <w:t>into activities that in</w:t>
      </w:r>
      <w:r>
        <w:t xml:space="preserve">crease access to or improve the </w:t>
      </w:r>
      <w:r w:rsidRPr="00873A52">
        <w:t xml:space="preserve">quality of health care services </w:t>
      </w:r>
      <w:r w:rsidR="0082760F">
        <w:t>and reentry supports for waiver participants.</w:t>
      </w:r>
      <w:r w:rsidR="00FB5B68">
        <w:t xml:space="preserve"> In addition to existing expenditures, DMS may elect to reinvest the State’s </w:t>
      </w:r>
      <w:r w:rsidR="00FB5B68" w:rsidRPr="0082760F">
        <w:t>share of expe</w:t>
      </w:r>
      <w:r w:rsidR="00FB5B68">
        <w:t xml:space="preserve">nditures for new, enhanced, </w:t>
      </w:r>
      <w:r w:rsidR="00FB5B68" w:rsidRPr="0082760F">
        <w:t>or expanded pre-release services approved</w:t>
      </w:r>
      <w:r w:rsidR="00FB5B68">
        <w:t xml:space="preserve"> </w:t>
      </w:r>
      <w:r w:rsidR="00FB5B68" w:rsidRPr="0082760F">
        <w:t xml:space="preserve">under </w:t>
      </w:r>
      <w:r w:rsidR="00FB5B68">
        <w:t xml:space="preserve">the waiver. Reinvestments will </w:t>
      </w:r>
      <w:r w:rsidR="00FB5B68" w:rsidRPr="00873A52">
        <w:t xml:space="preserve">not supplant existing </w:t>
      </w:r>
      <w:r w:rsidR="00FB5B68">
        <w:t>State and/or local</w:t>
      </w:r>
      <w:r w:rsidR="00FB5B68" w:rsidRPr="00873A52">
        <w:t xml:space="preserve"> </w:t>
      </w:r>
      <w:proofErr w:type="gramStart"/>
      <w:r w:rsidR="00FB5B68" w:rsidRPr="00873A52">
        <w:t>spendin</w:t>
      </w:r>
      <w:r w:rsidR="00FB5B68">
        <w:t>g, and</w:t>
      </w:r>
      <w:proofErr w:type="gramEnd"/>
      <w:r w:rsidR="00FB5B68">
        <w:t xml:space="preserve"> will be aligned with the Commonwealth’s goals for the </w:t>
      </w:r>
      <w:r w:rsidR="00152984">
        <w:t>Proposed Reentry Demonstration</w:t>
      </w:r>
      <w:r w:rsidR="00FB5B68">
        <w:t xml:space="preserve">. Preliminarily, DMS has identified </w:t>
      </w:r>
      <w:r w:rsidR="00A353CD">
        <w:t xml:space="preserve">a number of opportunities for reinvestment including, but not limited to, </w:t>
      </w:r>
      <w:r w:rsidR="00FB5B68">
        <w:t>potential investments designed to i</w:t>
      </w:r>
      <w:r w:rsidR="00FB5B68" w:rsidRPr="0082760F">
        <w:t xml:space="preserve">mprove access </w:t>
      </w:r>
      <w:proofErr w:type="gramStart"/>
      <w:r w:rsidR="00FB5B68" w:rsidRPr="0082760F">
        <w:t>to</w:t>
      </w:r>
      <w:proofErr w:type="gramEnd"/>
      <w:r w:rsidR="00FB5B68" w:rsidRPr="0082760F">
        <w:t xml:space="preserve"> and quality of physical and behavioral health care delivered in both the carceral and community-base</w:t>
      </w:r>
      <w:r w:rsidR="00A353CD">
        <w:t xml:space="preserve">d health care settings, and to </w:t>
      </w:r>
      <w:r w:rsidR="00FB5B68">
        <w:t>i</w:t>
      </w:r>
      <w:r w:rsidR="00FB5B68" w:rsidRPr="0082760F">
        <w:t>ncrease and enhance community-based provider capacity and availa</w:t>
      </w:r>
      <w:r w:rsidR="00FB5B68">
        <w:t xml:space="preserve">bility of services and supports. </w:t>
      </w:r>
    </w:p>
    <w:p w14:paraId="512375D8" w14:textId="77777777" w:rsidR="00F22468" w:rsidRPr="00F22468" w:rsidRDefault="00F22468" w:rsidP="00D038D6">
      <w:pPr>
        <w:pStyle w:val="Heading2"/>
      </w:pPr>
      <w:bookmarkStart w:id="35" w:name="_Toc150417381"/>
      <w:r>
        <w:t>Non-Service Expenditures</w:t>
      </w:r>
      <w:bookmarkEnd w:id="35"/>
    </w:p>
    <w:p w14:paraId="5EC2F539" w14:textId="3402C02A" w:rsidR="00FD1142" w:rsidRPr="00152820" w:rsidRDefault="00D60B57" w:rsidP="00152820">
      <w:r>
        <w:t>T</w:t>
      </w:r>
      <w:r w:rsidR="00FB5B68">
        <w:t>he Commonwealth is strongly positioned to implement the propo</w:t>
      </w:r>
      <w:r>
        <w:t xml:space="preserve">sed waiver request; however, DMS has identified a need for </w:t>
      </w:r>
      <w:r w:rsidR="00FB5B68" w:rsidRPr="00FB5B68">
        <w:t xml:space="preserve">upfront and/or one-time non-service costs to </w:t>
      </w:r>
      <w:r>
        <w:t xml:space="preserve">enhance and/or create new linkages between </w:t>
      </w:r>
      <w:r w:rsidR="00FB5B68" w:rsidRPr="00FB5B68">
        <w:t xml:space="preserve">Medicaid operations and </w:t>
      </w:r>
      <w:r>
        <w:t>Kentucky state prisons and YDCs.</w:t>
      </w:r>
      <w:r w:rsidR="00DA2BE5">
        <w:t xml:space="preserve"> </w:t>
      </w:r>
      <w:r>
        <w:t>As such, DMS</w:t>
      </w:r>
      <w:r w:rsidR="00FB5B68" w:rsidRPr="00FB5B68">
        <w:t xml:space="preserve"> </w:t>
      </w:r>
      <w:r>
        <w:t xml:space="preserve">will work with CMS and key stakeholders (e.g., DOC, DJJ, and MCOs) </w:t>
      </w:r>
      <w:r w:rsidRPr="00C07A4C">
        <w:rPr>
          <w:spacing w:val="-1"/>
        </w:rPr>
        <w:t>throughout the waiver negotiation</w:t>
      </w:r>
      <w:r>
        <w:rPr>
          <w:spacing w:val="-1"/>
        </w:rPr>
        <w:t xml:space="preserve"> period to determine the </w:t>
      </w:r>
      <w:r w:rsidR="00DA2BE5">
        <w:rPr>
          <w:spacing w:val="-1"/>
        </w:rPr>
        <w:t xml:space="preserve">exact </w:t>
      </w:r>
      <w:r>
        <w:rPr>
          <w:spacing w:val="-1"/>
        </w:rPr>
        <w:t xml:space="preserve">amount of </w:t>
      </w:r>
      <w:r w:rsidR="00FB5B68" w:rsidRPr="00FB5B68">
        <w:t>time-limited support</w:t>
      </w:r>
      <w:r w:rsidR="00DA2BE5">
        <w:t xml:space="preserve">, </w:t>
      </w:r>
      <w:r w:rsidR="00FB5B68" w:rsidRPr="00FB5B68">
        <w:t xml:space="preserve">in the form of </w:t>
      </w:r>
      <w:r w:rsidR="00DD5653">
        <w:t>federal financial participation</w:t>
      </w:r>
      <w:r w:rsidR="00DA2BE5">
        <w:t xml:space="preserve">, that will be </w:t>
      </w:r>
      <w:r>
        <w:t>required</w:t>
      </w:r>
      <w:r w:rsidR="00FB5B68" w:rsidRPr="00FB5B68">
        <w:t xml:space="preserve"> </w:t>
      </w:r>
      <w:r>
        <w:t xml:space="preserve">to support new </w:t>
      </w:r>
      <w:r w:rsidR="00FB5B68" w:rsidRPr="00FB5B68">
        <w:t xml:space="preserve">expenditures </w:t>
      </w:r>
      <w:r w:rsidR="00DA2BE5">
        <w:t>to</w:t>
      </w:r>
      <w:r>
        <w:t xml:space="preserve"> </w:t>
      </w:r>
      <w:r w:rsidR="00FB5B68" w:rsidRPr="00FB5B68">
        <w:t>implement and expand</w:t>
      </w:r>
      <w:r>
        <w:t xml:space="preserve"> </w:t>
      </w:r>
      <w:r w:rsidR="00FB5B68" w:rsidRPr="00FB5B68">
        <w:t>service provision and coordination with community providers</w:t>
      </w:r>
      <w:r w:rsidR="00DA2BE5">
        <w:t xml:space="preserve">. Preliminarily, DMS has identified </w:t>
      </w:r>
      <w:proofErr w:type="gramStart"/>
      <w:r w:rsidR="00DA2BE5">
        <w:t>a number of</w:t>
      </w:r>
      <w:proofErr w:type="gramEnd"/>
      <w:r w:rsidR="00DA2BE5">
        <w:t xml:space="preserve"> </w:t>
      </w:r>
      <w:r w:rsidR="00FB5B68" w:rsidRPr="00FB5B68">
        <w:t>transitional, non</w:t>
      </w:r>
      <w:r w:rsidR="00DA2BE5">
        <w:t>-</w:t>
      </w:r>
      <w:r w:rsidR="00FB5B68" w:rsidRPr="00FB5B68">
        <w:t xml:space="preserve">service activities necessary to support the successful implementation </w:t>
      </w:r>
      <w:r w:rsidR="00DA2BE5">
        <w:t xml:space="preserve">of the waiver. These include, but are not limited to, </w:t>
      </w:r>
      <w:r w:rsidR="00A353CD">
        <w:t>enhanced</w:t>
      </w:r>
      <w:r w:rsidR="00DA2BE5">
        <w:t xml:space="preserve"> </w:t>
      </w:r>
      <w:r w:rsidR="00DA2BE5" w:rsidRPr="00FB5B68">
        <w:t>Medicaid enrollment and suspension processes</w:t>
      </w:r>
      <w:r w:rsidR="00DA2BE5">
        <w:t xml:space="preserve">, as well as claims/billing systems; </w:t>
      </w:r>
      <w:r w:rsidR="00A353CD">
        <w:t xml:space="preserve">enhanced </w:t>
      </w:r>
      <w:r w:rsidR="00D54012">
        <w:t>health information technology (</w:t>
      </w:r>
      <w:r w:rsidR="00A353CD">
        <w:t>HIT</w:t>
      </w:r>
      <w:r w:rsidR="00D54012">
        <w:t>)</w:t>
      </w:r>
      <w:r w:rsidR="00A353CD">
        <w:t xml:space="preserve"> </w:t>
      </w:r>
      <w:r w:rsidR="00DA2BE5" w:rsidRPr="00FB5B68">
        <w:t xml:space="preserve">systems </w:t>
      </w:r>
      <w:r w:rsidR="00A353CD">
        <w:t xml:space="preserve">that </w:t>
      </w:r>
      <w:r w:rsidR="00DA2BE5" w:rsidRPr="00FB5B68">
        <w:t xml:space="preserve">improved data exchange and linkages between </w:t>
      </w:r>
      <w:r w:rsidR="00DA2BE5" w:rsidRPr="00FB5B68">
        <w:lastRenderedPageBreak/>
        <w:t>Medicaid,</w:t>
      </w:r>
      <w:r w:rsidR="00DA2BE5">
        <w:t xml:space="preserve"> state prisons, YDCs,</w:t>
      </w:r>
      <w:r w:rsidR="00DA2BE5" w:rsidRPr="00FB5B68">
        <w:t xml:space="preserve"> MCOs, social service departments, behavioral health agencies and other community-based organiz</w:t>
      </w:r>
      <w:r w:rsidR="00DA2BE5">
        <w:t>ations;</w:t>
      </w:r>
      <w:r w:rsidR="00A353CD">
        <w:t xml:space="preserve"> </w:t>
      </w:r>
      <w:r w:rsidR="00DA2BE5">
        <w:t>c</w:t>
      </w:r>
      <w:r w:rsidR="00DA2BE5" w:rsidRPr="00FB5B68">
        <w:t xml:space="preserve">ertified </w:t>
      </w:r>
      <w:r w:rsidR="00FD1142">
        <w:t>EHR</w:t>
      </w:r>
      <w:r w:rsidR="00DA2BE5" w:rsidRPr="00FB5B68">
        <w:t xml:space="preserve"> technology with interoperable connections to the </w:t>
      </w:r>
      <w:r w:rsidR="00196F7A">
        <w:t>KHIE</w:t>
      </w:r>
      <w:r w:rsidR="00DA2BE5">
        <w:t xml:space="preserve">; </w:t>
      </w:r>
      <w:r w:rsidR="00A353CD">
        <w:t xml:space="preserve">enhanced </w:t>
      </w:r>
      <w:r w:rsidR="00DA2BE5">
        <w:t>t</w:t>
      </w:r>
      <w:r w:rsidR="00DA2BE5" w:rsidRPr="00FB5B68">
        <w:t xml:space="preserve">elehealth capabilities for seamless service delivery when </w:t>
      </w:r>
      <w:r w:rsidR="00A353CD">
        <w:t>necessary</w:t>
      </w:r>
      <w:r w:rsidR="00DA2BE5">
        <w:t xml:space="preserve">; and recruiting, hiring, onboarding, </w:t>
      </w:r>
      <w:r w:rsidR="00DA2BE5" w:rsidRPr="00FB5B68">
        <w:t>and training staff to support</w:t>
      </w:r>
      <w:r w:rsidR="00A353CD">
        <w:t xml:space="preserve"> the</w:t>
      </w:r>
      <w:r w:rsidR="00DA2BE5" w:rsidRPr="00FB5B68">
        <w:t xml:space="preserve"> </w:t>
      </w:r>
      <w:r w:rsidR="00A353CD">
        <w:t xml:space="preserve">development of waiver-specific </w:t>
      </w:r>
      <w:r w:rsidR="00A353CD" w:rsidRPr="00FB5B68">
        <w:t>protocols and procedures</w:t>
      </w:r>
      <w:r w:rsidR="00A353CD">
        <w:t xml:space="preserve">, </w:t>
      </w:r>
      <w:r w:rsidR="00DA2BE5">
        <w:t>Medicaid and waiver eligibility determinations,</w:t>
      </w:r>
      <w:r w:rsidR="00DA2BE5" w:rsidRPr="00FB5B68">
        <w:t xml:space="preserve"> </w:t>
      </w:r>
      <w:r w:rsidR="00A353CD">
        <w:t xml:space="preserve">as well as </w:t>
      </w:r>
      <w:r w:rsidR="00DA2BE5" w:rsidRPr="00FB5B68">
        <w:t>reentry services planning and delivery</w:t>
      </w:r>
      <w:r w:rsidR="00A353CD">
        <w:t xml:space="preserve">. Note, all expenditures will be “new” </w:t>
      </w:r>
      <w:proofErr w:type="gramStart"/>
      <w:r w:rsidR="00A353CD">
        <w:t>as a result of</w:t>
      </w:r>
      <w:proofErr w:type="gramEnd"/>
      <w:r w:rsidR="00A353CD">
        <w:t xml:space="preserve"> implementation activities associated with the waiver and will not supplant existing or otherwise planned expenditures.</w:t>
      </w:r>
      <w:r w:rsidR="008663CE">
        <w:t xml:space="preserve"> </w:t>
      </w:r>
      <w:r w:rsidR="00DA2BE5" w:rsidRPr="00FB5B68">
        <w:t xml:space="preserve"> </w:t>
      </w:r>
    </w:p>
    <w:p w14:paraId="78466E03" w14:textId="5483BE10" w:rsidR="00EF0B61" w:rsidRPr="00EF0B61" w:rsidRDefault="00EF0B61" w:rsidP="00152820">
      <w:pPr>
        <w:pStyle w:val="Heading1"/>
      </w:pPr>
      <w:bookmarkStart w:id="36" w:name="_Toc150417382"/>
      <w:r w:rsidRPr="00EF0B61">
        <w:rPr>
          <w:u w:color="000000"/>
        </w:rPr>
        <w:t xml:space="preserve">Section </w:t>
      </w:r>
      <w:r w:rsidRPr="00EF0B61">
        <w:rPr>
          <w:spacing w:val="-2"/>
          <w:u w:color="000000"/>
        </w:rPr>
        <w:t>VII</w:t>
      </w:r>
      <w:r w:rsidRPr="00EF0B61">
        <w:rPr>
          <w:u w:color="000000"/>
        </w:rPr>
        <w:t xml:space="preserve"> – List</w:t>
      </w:r>
      <w:r w:rsidRPr="00EF0B61">
        <w:rPr>
          <w:spacing w:val="-3"/>
          <w:u w:color="000000"/>
        </w:rPr>
        <w:t xml:space="preserve"> </w:t>
      </w:r>
      <w:r w:rsidRPr="00EF0B61">
        <w:rPr>
          <w:spacing w:val="1"/>
          <w:u w:color="000000"/>
        </w:rPr>
        <w:t>of</w:t>
      </w:r>
      <w:r w:rsidRPr="00EF0B61">
        <w:rPr>
          <w:spacing w:val="-9"/>
          <w:u w:color="000000"/>
        </w:rPr>
        <w:t xml:space="preserve"> </w:t>
      </w:r>
      <w:r w:rsidRPr="00EF0B61">
        <w:rPr>
          <w:u w:color="000000"/>
        </w:rPr>
        <w:t>Proposed</w:t>
      </w:r>
      <w:r w:rsidRPr="00EF0B61">
        <w:rPr>
          <w:spacing w:val="-4"/>
          <w:u w:color="000000"/>
        </w:rPr>
        <w:t xml:space="preserve"> </w:t>
      </w:r>
      <w:r w:rsidRPr="00EF0B61">
        <w:rPr>
          <w:spacing w:val="-2"/>
          <w:u w:color="000000"/>
        </w:rPr>
        <w:t>Waivers</w:t>
      </w:r>
      <w:r w:rsidRPr="00EF0B61">
        <w:rPr>
          <w:u w:color="000000"/>
        </w:rPr>
        <w:t xml:space="preserve"> and Expenditure </w:t>
      </w:r>
      <w:r w:rsidRPr="00EF0B61">
        <w:rPr>
          <w:spacing w:val="-2"/>
          <w:u w:color="000000"/>
        </w:rPr>
        <w:t>Authorities</w:t>
      </w:r>
      <w:bookmarkEnd w:id="36"/>
    </w:p>
    <w:p w14:paraId="40F74EEB" w14:textId="77777777" w:rsidR="00EF0B61" w:rsidRPr="00EF0B61" w:rsidRDefault="00EF0B61" w:rsidP="009965D5">
      <w:pPr>
        <w:spacing w:after="120"/>
      </w:pPr>
      <w:r w:rsidRPr="00EF0B61">
        <w:t>The Commonwealth is requesting the following waivers and expenditure authorities necessary to implement the policies described in this application.</w:t>
      </w:r>
      <w:r w:rsidR="00B130AB">
        <w:t xml:space="preserve"> </w:t>
      </w:r>
      <w:r w:rsidRPr="00EF0B61">
        <w:t>DMS will work with CMS during the federal review period to make any necessary modifications to this request.</w:t>
      </w:r>
      <w:r w:rsidR="00B130AB">
        <w:t xml:space="preserve"> </w:t>
      </w:r>
    </w:p>
    <w:p w14:paraId="6A9B6183" w14:textId="77777777" w:rsidR="00EF0B61" w:rsidRPr="00EF0B61" w:rsidRDefault="00EF0B61" w:rsidP="00152820">
      <w:pPr>
        <w:pStyle w:val="ListParagraph"/>
        <w:numPr>
          <w:ilvl w:val="0"/>
          <w:numId w:val="1"/>
        </w:numPr>
        <w:spacing w:after="120"/>
      </w:pPr>
      <w:proofErr w:type="spellStart"/>
      <w:r w:rsidRPr="009F36C7">
        <w:rPr>
          <w:b/>
          <w:i/>
        </w:rPr>
        <w:t>Statewideness</w:t>
      </w:r>
      <w:proofErr w:type="spellEnd"/>
      <w:r w:rsidRPr="009F36C7">
        <w:rPr>
          <w:b/>
          <w:i/>
        </w:rPr>
        <w:t>, Section 1902(a)(1)</w:t>
      </w:r>
      <w:r w:rsidRPr="009965D5">
        <w:rPr>
          <w:b/>
          <w:i/>
        </w:rPr>
        <w:t>.</w:t>
      </w:r>
      <w:r w:rsidRPr="00EF0B61">
        <w:t xml:space="preserve"> To enable the Commonwealth to provide pre-release services, as described in this application, to qualifying beneficiaries on a geographically limited basis (i.e., counties where participating state prisons are located, counties where </w:t>
      </w:r>
      <w:r w:rsidR="00DA0CC6">
        <w:t>YDC</w:t>
      </w:r>
      <w:r w:rsidRPr="00EF0B61">
        <w:t xml:space="preserve">s are located, and counties where the Kentucky </w:t>
      </w:r>
      <w:r w:rsidR="00327C41">
        <w:t>BHCDP</w:t>
      </w:r>
      <w:r w:rsidRPr="00EF0B61">
        <w:t xml:space="preserve"> operates).</w:t>
      </w:r>
    </w:p>
    <w:p w14:paraId="65F8DE1E" w14:textId="77777777" w:rsidR="00EF0B61" w:rsidRPr="00EF0B61" w:rsidRDefault="00EF0B61" w:rsidP="00152820">
      <w:pPr>
        <w:pStyle w:val="ListParagraph"/>
        <w:numPr>
          <w:ilvl w:val="0"/>
          <w:numId w:val="1"/>
        </w:numPr>
        <w:spacing w:after="120"/>
      </w:pPr>
      <w:r w:rsidRPr="009F36C7">
        <w:rPr>
          <w:b/>
          <w:i/>
        </w:rPr>
        <w:t>Amount, Duration, and Scope of Services and Comparability, Section 1902(a)(10)(B) and 1902(a)(17).</w:t>
      </w:r>
      <w:r w:rsidRPr="009F36C7">
        <w:rPr>
          <w:b/>
        </w:rPr>
        <w:t xml:space="preserve"> </w:t>
      </w:r>
      <w:r w:rsidRPr="00EF0B61">
        <w:t xml:space="preserve">To enable the Commonwealth to provide a limited set of pre- and post-release services, as described in this application, to qualifying beneficiaries that is different than the services available to all other beneficiaries in the same eligibility groups authorized under the State Plan or the </w:t>
      </w:r>
      <w:r w:rsidR="0011491D">
        <w:t xml:space="preserve">TEAMKY </w:t>
      </w:r>
      <w:r w:rsidRPr="00EF0B61">
        <w:t xml:space="preserve">Demonstration. </w:t>
      </w:r>
    </w:p>
    <w:p w14:paraId="176E0496" w14:textId="77777777" w:rsidR="00EF0B61" w:rsidRPr="00EF0B61" w:rsidRDefault="00EF0B61" w:rsidP="00152820">
      <w:pPr>
        <w:pStyle w:val="ListParagraph"/>
        <w:numPr>
          <w:ilvl w:val="0"/>
          <w:numId w:val="1"/>
        </w:numPr>
        <w:spacing w:after="120"/>
      </w:pPr>
      <w:r w:rsidRPr="009965D5">
        <w:rPr>
          <w:b/>
          <w:i/>
        </w:rPr>
        <w:t>Freedom of Choice, Section 1902(a)(23)(A).</w:t>
      </w:r>
      <w:r w:rsidRPr="00EF0B61">
        <w:t xml:space="preserve"> To enable the Commonwealth to require qualifying beneficiaries to receive pre- and post-release services, as described in this application, through only certain providers.</w:t>
      </w:r>
    </w:p>
    <w:p w14:paraId="72B2A03E" w14:textId="77777777" w:rsidR="00EF0B61" w:rsidRPr="00EF0B61" w:rsidRDefault="00EF0B61" w:rsidP="00152820">
      <w:pPr>
        <w:pStyle w:val="ListParagraph"/>
        <w:numPr>
          <w:ilvl w:val="0"/>
          <w:numId w:val="1"/>
        </w:numPr>
        <w:spacing w:after="120"/>
      </w:pPr>
      <w:r w:rsidRPr="009F36C7">
        <w:rPr>
          <w:b/>
          <w:i/>
        </w:rPr>
        <w:t>Expenditures Related to Pre-Release Services.</w:t>
      </w:r>
      <w:r w:rsidRPr="009F36C7">
        <w:rPr>
          <w:b/>
        </w:rPr>
        <w:t xml:space="preserve"> </w:t>
      </w:r>
      <w:r w:rsidRPr="00EF0B61">
        <w:t xml:space="preserve">Expenditures for pre-release services, as described in this application (i.e., case management and MAT), provided to qualifying beneficiaries who would be eligible for Medicaid or CHIP if not for their incarceration status, for up to 60 days immediately prior to the expected date of release from a state prison or </w:t>
      </w:r>
      <w:r w:rsidR="00DA0CC6">
        <w:t>YDC</w:t>
      </w:r>
      <w:r w:rsidRPr="00EF0B61">
        <w:t>.</w:t>
      </w:r>
    </w:p>
    <w:p w14:paraId="49BA5BBD" w14:textId="77777777" w:rsidR="00EF0B61" w:rsidRPr="00EF0B61" w:rsidRDefault="00EF0B61" w:rsidP="00152820">
      <w:pPr>
        <w:pStyle w:val="ListParagraph"/>
        <w:numPr>
          <w:ilvl w:val="0"/>
          <w:numId w:val="1"/>
        </w:numPr>
        <w:spacing w:after="120"/>
      </w:pPr>
      <w:r w:rsidRPr="009F36C7">
        <w:rPr>
          <w:b/>
          <w:i/>
        </w:rPr>
        <w:t>Expenditures Related to Post-Release Services.</w:t>
      </w:r>
      <w:r w:rsidRPr="00EF0B61">
        <w:rPr>
          <w:i/>
        </w:rPr>
        <w:t xml:space="preserve"> </w:t>
      </w:r>
      <w:r w:rsidRPr="00EF0B61">
        <w:t>Expenditures for post</w:t>
      </w:r>
      <w:r w:rsidR="00FD1142">
        <w:t>-</w:t>
      </w:r>
      <w:r w:rsidRPr="00EF0B61">
        <w:t xml:space="preserve">release services, as described in this application (i.e., </w:t>
      </w:r>
      <w:r w:rsidR="00203CA0">
        <w:t>RRSS</w:t>
      </w:r>
      <w:r w:rsidRPr="00EF0B61">
        <w:t xml:space="preserve">), provided to qualifying beneficiaries, for up to 90 days immediately following the date of release from a participating state prison or enrollment in the Kentucky </w:t>
      </w:r>
      <w:r w:rsidR="00327C41">
        <w:t>BHCDP</w:t>
      </w:r>
      <w:r w:rsidRPr="00EF0B61">
        <w:t xml:space="preserve">. </w:t>
      </w:r>
    </w:p>
    <w:p w14:paraId="356BC097" w14:textId="3F6E4EAF" w:rsidR="007506B6" w:rsidRPr="00152820" w:rsidRDefault="00EF0B61" w:rsidP="00152820">
      <w:pPr>
        <w:pStyle w:val="ListParagraph"/>
        <w:numPr>
          <w:ilvl w:val="0"/>
          <w:numId w:val="1"/>
        </w:numPr>
      </w:pPr>
      <w:r w:rsidRPr="009F36C7">
        <w:rPr>
          <w:b/>
          <w:i/>
        </w:rPr>
        <w:t>Expenditures for Pre-Release Administrative Costs.</w:t>
      </w:r>
      <w:r w:rsidRPr="009F36C7">
        <w:rPr>
          <w:b/>
        </w:rPr>
        <w:t xml:space="preserve"> </w:t>
      </w:r>
      <w:r w:rsidRPr="00EF0B61">
        <w:t>Capped expenditures for payments for allowable administrative costs, services, supports, transitional non-service expenditures, infrastructure</w:t>
      </w:r>
      <w:r w:rsidR="00FD1142">
        <w:t>,</w:t>
      </w:r>
      <w:r w:rsidRPr="00EF0B61">
        <w:t xml:space="preserve"> and interventions, which may not be recognized as medical assistance under Section 1905(a)</w:t>
      </w:r>
      <w:r w:rsidR="007254C3">
        <w:t>,</w:t>
      </w:r>
      <w:r w:rsidRPr="00EF0B61">
        <w:t xml:space="preserve"> or may not otherwise be reimbursable under Section 1903 to the extent such activities are required as part of this application.</w:t>
      </w:r>
    </w:p>
    <w:p w14:paraId="32663A2A" w14:textId="77777777" w:rsidR="00741591" w:rsidRDefault="00741591">
      <w:pPr>
        <w:spacing w:after="0"/>
        <w:rPr>
          <w:rFonts w:eastAsia="Times New Roman"/>
          <w:b/>
          <w:bCs/>
          <w:color w:val="093865"/>
          <w:spacing w:val="-1"/>
          <w:sz w:val="32"/>
          <w:szCs w:val="32"/>
          <w:u w:val="single" w:color="000000"/>
        </w:rPr>
      </w:pPr>
      <w:r>
        <w:rPr>
          <w:u w:color="000000"/>
        </w:rPr>
        <w:br w:type="page"/>
      </w:r>
    </w:p>
    <w:p w14:paraId="75C3D0A6" w14:textId="10053245" w:rsidR="00B63EA3" w:rsidRPr="009E6DD5" w:rsidRDefault="000C128B" w:rsidP="009F36C7">
      <w:pPr>
        <w:pStyle w:val="Heading1"/>
      </w:pPr>
      <w:bookmarkStart w:id="37" w:name="_Toc150417383"/>
      <w:r w:rsidRPr="009E6DD5">
        <w:rPr>
          <w:u w:color="000000"/>
        </w:rPr>
        <w:lastRenderedPageBreak/>
        <w:t xml:space="preserve">Section </w:t>
      </w:r>
      <w:r w:rsidRPr="009E6DD5">
        <w:rPr>
          <w:spacing w:val="-2"/>
          <w:u w:color="000000"/>
        </w:rPr>
        <w:t>VIII</w:t>
      </w:r>
      <w:r w:rsidRPr="009E6DD5">
        <w:rPr>
          <w:spacing w:val="-5"/>
          <w:u w:color="000000"/>
        </w:rPr>
        <w:t xml:space="preserve"> </w:t>
      </w:r>
      <w:r w:rsidRPr="009E6DD5">
        <w:rPr>
          <w:u w:color="000000"/>
        </w:rPr>
        <w:t xml:space="preserve">– </w:t>
      </w:r>
      <w:r w:rsidRPr="009E6DD5">
        <w:rPr>
          <w:spacing w:val="-2"/>
          <w:u w:color="000000"/>
        </w:rPr>
        <w:t>Public</w:t>
      </w:r>
      <w:r w:rsidRPr="009E6DD5">
        <w:rPr>
          <w:u w:color="000000"/>
        </w:rPr>
        <w:t xml:space="preserve"> Notice</w:t>
      </w:r>
      <w:bookmarkEnd w:id="37"/>
    </w:p>
    <w:p w14:paraId="74286291" w14:textId="77777777" w:rsidR="00773506" w:rsidRPr="002B1035" w:rsidRDefault="00773506" w:rsidP="00D038D6">
      <w:pPr>
        <w:pStyle w:val="Heading2"/>
        <w:rPr>
          <w:u w:color="000000"/>
        </w:rPr>
      </w:pPr>
      <w:bookmarkStart w:id="38" w:name="_Toc150417384"/>
      <w:r w:rsidRPr="002B1035">
        <w:rPr>
          <w:u w:color="000000"/>
        </w:rPr>
        <w:t>Tribal Notice</w:t>
      </w:r>
      <w:bookmarkEnd w:id="38"/>
      <w:r w:rsidRPr="002B1035">
        <w:rPr>
          <w:u w:color="000000"/>
        </w:rPr>
        <w:t xml:space="preserve"> </w:t>
      </w:r>
    </w:p>
    <w:p w14:paraId="4C5A5507" w14:textId="77777777" w:rsidR="00773506" w:rsidRDefault="00773506" w:rsidP="00272214">
      <w:pPr>
        <w:rPr>
          <w:u w:color="000000"/>
        </w:rPr>
      </w:pPr>
      <w:r w:rsidRPr="003302F6">
        <w:rPr>
          <w:u w:color="000000"/>
        </w:rPr>
        <w:t xml:space="preserve">Kentucky does not have any tribal units. </w:t>
      </w:r>
    </w:p>
    <w:p w14:paraId="407CCD3A" w14:textId="77777777" w:rsidR="00773506" w:rsidRPr="002B1035" w:rsidRDefault="00773506" w:rsidP="00D038D6">
      <w:pPr>
        <w:pStyle w:val="Heading2"/>
        <w:rPr>
          <w:u w:color="000000"/>
        </w:rPr>
      </w:pPr>
      <w:bookmarkStart w:id="39" w:name="_Toc150417385"/>
      <w:r w:rsidRPr="002B1035">
        <w:rPr>
          <w:u w:color="000000"/>
        </w:rPr>
        <w:t>Public Notice</w:t>
      </w:r>
      <w:bookmarkEnd w:id="39"/>
    </w:p>
    <w:p w14:paraId="6C48542B" w14:textId="77777777" w:rsidR="000F17F2" w:rsidRDefault="00D54012" w:rsidP="000F17F2">
      <w:pPr>
        <w:rPr>
          <w:u w:color="000000"/>
        </w:rPr>
      </w:pPr>
      <w:r w:rsidRPr="00B21DEF">
        <w:rPr>
          <w:u w:color="000000"/>
        </w:rPr>
        <w:t xml:space="preserve">Prior to submitting </w:t>
      </w:r>
      <w:r w:rsidR="0011491D">
        <w:rPr>
          <w:u w:color="000000"/>
        </w:rPr>
        <w:t xml:space="preserve">the </w:t>
      </w:r>
      <w:r w:rsidR="0011491D">
        <w:t>Proposed Reentry Demonstration</w:t>
      </w:r>
      <w:r w:rsidRPr="00B21DEF">
        <w:rPr>
          <w:u w:color="000000"/>
        </w:rPr>
        <w:t xml:space="preserve"> request to CMS</w:t>
      </w:r>
      <w:r>
        <w:rPr>
          <w:u w:color="000000"/>
        </w:rPr>
        <w:t>,</w:t>
      </w:r>
      <w:r w:rsidRPr="00B21DEF">
        <w:rPr>
          <w:u w:color="000000"/>
        </w:rPr>
        <w:t xml:space="preserve"> DMS will follow all guidelines and procedures according to 42 CFR § 431.408 regarding collection, review of</w:t>
      </w:r>
      <w:r w:rsidR="0011491D">
        <w:rPr>
          <w:u w:color="000000"/>
        </w:rPr>
        <w:t>,</w:t>
      </w:r>
      <w:r w:rsidRPr="00B21DEF">
        <w:rPr>
          <w:u w:color="000000"/>
        </w:rPr>
        <w:t xml:space="preserve"> and response to</w:t>
      </w:r>
      <w:r w:rsidR="0011491D">
        <w:rPr>
          <w:u w:color="000000"/>
        </w:rPr>
        <w:t>,</w:t>
      </w:r>
      <w:r w:rsidRPr="00B21DEF">
        <w:rPr>
          <w:u w:color="000000"/>
        </w:rPr>
        <w:t xml:space="preserve"> public comments.</w:t>
      </w:r>
    </w:p>
    <w:p w14:paraId="03682056" w14:textId="6ADE46A0" w:rsidR="002B1035" w:rsidRPr="002D069C" w:rsidRDefault="002B1035" w:rsidP="002D069C">
      <w:pPr>
        <w:jc w:val="center"/>
        <w:rPr>
          <w:b/>
        </w:rPr>
      </w:pPr>
      <w:r w:rsidRPr="002D069C">
        <w:rPr>
          <w:b/>
        </w:rPr>
        <w:t>KENTUCKY MEDICAID PROGRAM PUBLIC NOTICE</w:t>
      </w:r>
    </w:p>
    <w:p w14:paraId="4CAD227D" w14:textId="77777777" w:rsidR="002B1035" w:rsidRPr="002D069C" w:rsidRDefault="002B1035" w:rsidP="002D069C">
      <w:pPr>
        <w:jc w:val="center"/>
        <w:rPr>
          <w:b/>
        </w:rPr>
      </w:pPr>
      <w:r w:rsidRPr="002D069C">
        <w:rPr>
          <w:b/>
        </w:rPr>
        <w:t>Kentucky Medicaid Section 1115 Demonstration: TEAMKY (formally known as Kentucky Helping to Engage and Achieve Long Term Health (KY HEALTH))</w:t>
      </w:r>
    </w:p>
    <w:p w14:paraId="2910E56F" w14:textId="77777777" w:rsidR="007A0E07" w:rsidRPr="00FA31EB" w:rsidRDefault="007A0E07" w:rsidP="007A0E07">
      <w:r w:rsidRPr="00FA31EB">
        <w:t xml:space="preserve">In accordance with 42 CFR 431.408, the Cabinet for </w:t>
      </w:r>
      <w:proofErr w:type="gramStart"/>
      <w:r w:rsidRPr="00FA31EB">
        <w:t>Health</w:t>
      </w:r>
      <w:proofErr w:type="gramEnd"/>
      <w:r w:rsidRPr="00FA31EB">
        <w:t xml:space="preserve"> and Family Services (CHFS), Department for Medicaid Services (DMS) announces its intention to file a Section 1115(a) Demonstration application with the Centers for Medicare and Medicaid Services (CMS), to request Medicaid coverage for certain transitional services to identified individuals who are soon-to-be former inmates of designated public institution. </w:t>
      </w:r>
    </w:p>
    <w:p w14:paraId="083EACDE" w14:textId="77777777" w:rsidR="007A0E07" w:rsidRDefault="007A0E07" w:rsidP="007A0E07">
      <w:pPr>
        <w:rPr>
          <w:b/>
          <w:bCs/>
          <w:u w:val="single"/>
        </w:rPr>
      </w:pPr>
      <w:r w:rsidRPr="00FA31EB">
        <w:t>The goal of the Demonstration is to improve transitions by leveraging the Commonwealth’s existing reentry efforts and expanding services to create greater continuity of care.</w:t>
      </w:r>
      <w:r>
        <w:t xml:space="preserve"> </w:t>
      </w:r>
      <w:r w:rsidRPr="00FA31EB">
        <w:t>Under the Demonstration, eligible members will receive case management pre and post release to address physical health, behavioral health, and health related social needs; medication assisted treatment (MAT) for SUD as clinically appropriate for up to 60 days pre-release; and a 30-day supply of all clinically required prescription medications and, if applicable, a prescription/written order for durable medical equipment (DME) immediately upon release.</w:t>
      </w:r>
      <w:r>
        <w:t xml:space="preserve"> </w:t>
      </w:r>
      <w:r w:rsidRPr="00FA31EB">
        <w:t>DMS is also requesting authorization to provide Recovery Residence Support Services (RRSS) for eligible adults diagnosed with an SUD who are soon-to-be former inmates of designated public institution, as well as individuals with SUD participating in the Kentucky Behavioral Health Conditional Dismissal Program, for up to 90 days post-release.</w:t>
      </w:r>
      <w:r>
        <w:t xml:space="preserve"> </w:t>
      </w:r>
      <w:r w:rsidRPr="00FA31EB">
        <w:t>Upon approval, provision of these services will strengthen coordination of care, enhance health outcomes for this population, and reduce recidivism rates.</w:t>
      </w:r>
    </w:p>
    <w:p w14:paraId="1B1C2C9D" w14:textId="77777777" w:rsidR="00EF0B61" w:rsidRDefault="00EF0B61" w:rsidP="00D038D6">
      <w:pPr>
        <w:pStyle w:val="Heading2"/>
      </w:pPr>
      <w:bookmarkStart w:id="40" w:name="_Toc150417386"/>
      <w:r w:rsidRPr="00EF0B61">
        <w:t>Public Forums</w:t>
      </w:r>
      <w:bookmarkEnd w:id="40"/>
      <w:r w:rsidRPr="00EF0B61">
        <w:t xml:space="preserve"> </w:t>
      </w:r>
    </w:p>
    <w:p w14:paraId="22E83683" w14:textId="77777777" w:rsidR="00EF0B61" w:rsidRPr="002B5337" w:rsidRDefault="00EF0B61" w:rsidP="00EF0B61">
      <w:pPr>
        <w:pStyle w:val="NoSpacing"/>
        <w:rPr>
          <w:rFonts w:ascii="Times New Roman" w:hAnsi="Times New Roman" w:cs="Times New Roman"/>
          <w:sz w:val="24"/>
          <w:szCs w:val="24"/>
        </w:rPr>
      </w:pPr>
      <w:r w:rsidRPr="002B5337">
        <w:rPr>
          <w:rFonts w:ascii="Times New Roman" w:hAnsi="Times New Roman" w:cs="Times New Roman"/>
          <w:sz w:val="24"/>
          <w:szCs w:val="24"/>
        </w:rPr>
        <w:t xml:space="preserve">DMS will hold </w:t>
      </w:r>
      <w:r>
        <w:rPr>
          <w:rFonts w:ascii="Times New Roman" w:hAnsi="Times New Roman" w:cs="Times New Roman"/>
          <w:sz w:val="24"/>
          <w:szCs w:val="24"/>
        </w:rPr>
        <w:t>two v</w:t>
      </w:r>
      <w:r w:rsidRPr="002B5337">
        <w:rPr>
          <w:rFonts w:ascii="Times New Roman" w:hAnsi="Times New Roman" w:cs="Times New Roman"/>
          <w:sz w:val="24"/>
          <w:szCs w:val="24"/>
        </w:rPr>
        <w:t xml:space="preserve">irtual </w:t>
      </w:r>
      <w:r>
        <w:rPr>
          <w:rFonts w:ascii="Times New Roman" w:hAnsi="Times New Roman" w:cs="Times New Roman"/>
          <w:sz w:val="24"/>
          <w:szCs w:val="24"/>
        </w:rPr>
        <w:t>f</w:t>
      </w:r>
      <w:r w:rsidRPr="002B5337">
        <w:rPr>
          <w:rFonts w:ascii="Times New Roman" w:hAnsi="Times New Roman" w:cs="Times New Roman"/>
          <w:sz w:val="24"/>
          <w:szCs w:val="24"/>
        </w:rPr>
        <w:t xml:space="preserve">orums on the following dates: </w:t>
      </w:r>
    </w:p>
    <w:p w14:paraId="41801143" w14:textId="77777777" w:rsidR="00EF0B61" w:rsidRPr="002B5337" w:rsidRDefault="00EF0B61" w:rsidP="000F17F2">
      <w:pPr>
        <w:pStyle w:val="NoSpacing"/>
        <w:rPr>
          <w:rFonts w:ascii="Times New Roman" w:hAnsi="Times New Roman" w:cs="Times New Roman"/>
          <w:sz w:val="24"/>
          <w:szCs w:val="24"/>
        </w:rPr>
      </w:pPr>
      <w:r w:rsidRPr="002B5337">
        <w:rPr>
          <w:rFonts w:ascii="Times New Roman" w:hAnsi="Times New Roman" w:cs="Times New Roman"/>
          <w:sz w:val="24"/>
          <w:szCs w:val="24"/>
        </w:rPr>
        <w:t>Monday, November 27 at 10:30</w:t>
      </w:r>
      <w:r w:rsidR="004223E5">
        <w:rPr>
          <w:rFonts w:ascii="Times New Roman" w:hAnsi="Times New Roman" w:cs="Times New Roman"/>
          <w:sz w:val="24"/>
          <w:szCs w:val="24"/>
        </w:rPr>
        <w:t xml:space="preserve"> a.m.</w:t>
      </w:r>
      <w:r w:rsidRPr="002B5337">
        <w:rPr>
          <w:rFonts w:ascii="Times New Roman" w:hAnsi="Times New Roman" w:cs="Times New Roman"/>
          <w:sz w:val="24"/>
          <w:szCs w:val="24"/>
        </w:rPr>
        <w:t xml:space="preserve"> – 12:00</w:t>
      </w:r>
      <w:r w:rsidR="004223E5">
        <w:rPr>
          <w:rFonts w:ascii="Times New Roman" w:hAnsi="Times New Roman" w:cs="Times New Roman"/>
          <w:sz w:val="24"/>
          <w:szCs w:val="24"/>
        </w:rPr>
        <w:t xml:space="preserve"> p.m.</w:t>
      </w:r>
      <w:r w:rsidRPr="002B5337">
        <w:rPr>
          <w:rFonts w:ascii="Times New Roman" w:hAnsi="Times New Roman" w:cs="Times New Roman"/>
          <w:sz w:val="24"/>
          <w:szCs w:val="24"/>
        </w:rPr>
        <w:t xml:space="preserve"> EST </w:t>
      </w:r>
    </w:p>
    <w:p w14:paraId="692310BA" w14:textId="77777777" w:rsidR="00EF0B61" w:rsidRPr="002B5337" w:rsidRDefault="00EF0B61" w:rsidP="000F17F2">
      <w:pPr>
        <w:pStyle w:val="NoSpacing"/>
        <w:rPr>
          <w:rFonts w:ascii="Times New Roman" w:hAnsi="Times New Roman" w:cs="Times New Roman"/>
          <w:sz w:val="24"/>
          <w:szCs w:val="24"/>
        </w:rPr>
      </w:pPr>
      <w:r w:rsidRPr="002B5337">
        <w:rPr>
          <w:rFonts w:ascii="Times New Roman" w:hAnsi="Times New Roman" w:cs="Times New Roman"/>
          <w:sz w:val="24"/>
          <w:szCs w:val="24"/>
        </w:rPr>
        <w:t>Friday, December 1 at 2:00</w:t>
      </w:r>
      <w:r w:rsidR="004223E5">
        <w:rPr>
          <w:rFonts w:ascii="Times New Roman" w:hAnsi="Times New Roman" w:cs="Times New Roman"/>
          <w:sz w:val="24"/>
          <w:szCs w:val="24"/>
        </w:rPr>
        <w:t xml:space="preserve"> p.m.</w:t>
      </w:r>
      <w:r w:rsidRPr="002B5337">
        <w:rPr>
          <w:rFonts w:ascii="Times New Roman" w:hAnsi="Times New Roman" w:cs="Times New Roman"/>
          <w:sz w:val="24"/>
          <w:szCs w:val="24"/>
        </w:rPr>
        <w:t xml:space="preserve"> – 3:30</w:t>
      </w:r>
      <w:r w:rsidR="004223E5">
        <w:rPr>
          <w:rFonts w:ascii="Times New Roman" w:hAnsi="Times New Roman" w:cs="Times New Roman"/>
          <w:sz w:val="24"/>
          <w:szCs w:val="24"/>
        </w:rPr>
        <w:t xml:space="preserve"> p.m.</w:t>
      </w:r>
      <w:r w:rsidRPr="002B5337">
        <w:rPr>
          <w:rFonts w:ascii="Times New Roman" w:hAnsi="Times New Roman" w:cs="Times New Roman"/>
          <w:sz w:val="24"/>
          <w:szCs w:val="24"/>
        </w:rPr>
        <w:t xml:space="preserve"> EST</w:t>
      </w:r>
    </w:p>
    <w:p w14:paraId="0145A42A" w14:textId="77777777" w:rsidR="00EF0B61" w:rsidRPr="002B5337" w:rsidRDefault="00EF0B61" w:rsidP="00EF0B61">
      <w:pPr>
        <w:pStyle w:val="NoSpacing"/>
        <w:rPr>
          <w:rFonts w:ascii="Times New Roman" w:hAnsi="Times New Roman" w:cs="Times New Roman"/>
          <w:b/>
          <w:bCs/>
          <w:color w:val="252424"/>
          <w:sz w:val="24"/>
          <w:szCs w:val="24"/>
        </w:rPr>
      </w:pPr>
    </w:p>
    <w:p w14:paraId="67B784A5" w14:textId="77777777" w:rsidR="00EF0B61" w:rsidRPr="002B1035" w:rsidRDefault="00EF0B61" w:rsidP="00EF0B61">
      <w:pPr>
        <w:pStyle w:val="NoSpacing"/>
        <w:rPr>
          <w:rFonts w:ascii="Times New Roman" w:hAnsi="Times New Roman" w:cs="Times New Roman"/>
          <w:sz w:val="24"/>
          <w:szCs w:val="24"/>
        </w:rPr>
      </w:pPr>
      <w:r w:rsidRPr="002B1035">
        <w:rPr>
          <w:rFonts w:ascii="Times New Roman" w:hAnsi="Times New Roman" w:cs="Times New Roman"/>
          <w:sz w:val="24"/>
          <w:szCs w:val="24"/>
        </w:rPr>
        <w:t>Join on your computer or mobile app via Microsoft T</w:t>
      </w:r>
      <w:r w:rsidR="004223E5">
        <w:rPr>
          <w:rFonts w:ascii="Times New Roman" w:hAnsi="Times New Roman" w:cs="Times New Roman"/>
          <w:sz w:val="24"/>
          <w:szCs w:val="24"/>
        </w:rPr>
        <w:t>eams</w:t>
      </w:r>
      <w:r w:rsidRPr="002B1035">
        <w:rPr>
          <w:rFonts w:ascii="Times New Roman" w:hAnsi="Times New Roman" w:cs="Times New Roman"/>
          <w:sz w:val="24"/>
          <w:szCs w:val="24"/>
        </w:rPr>
        <w:t xml:space="preserve">: </w:t>
      </w:r>
    </w:p>
    <w:p w14:paraId="0668A049" w14:textId="5BB72E74" w:rsidR="003E3467" w:rsidRPr="000F17F2" w:rsidRDefault="00000000" w:rsidP="00EF0B61">
      <w:pPr>
        <w:pStyle w:val="NoSpacing"/>
        <w:rPr>
          <w:rFonts w:ascii="Times New Roman" w:hAnsi="Times New Roman" w:cs="Times New Roman"/>
          <w:sz w:val="24"/>
          <w:szCs w:val="24"/>
        </w:rPr>
      </w:pPr>
      <w:hyperlink r:id="rId17" w:history="1">
        <w:r w:rsidR="006E58DC" w:rsidRPr="00240474">
          <w:rPr>
            <w:rStyle w:val="Hyperlink"/>
            <w:rFonts w:ascii="Times New Roman" w:hAnsi="Times New Roman" w:cs="Times New Roman"/>
            <w:sz w:val="24"/>
            <w:szCs w:val="24"/>
          </w:rPr>
          <w:t>https://www.microsoft.com/en-us/microsoft-teams/join-a-meeting</w:t>
        </w:r>
      </w:hyperlink>
      <w:r w:rsidR="006E58DC">
        <w:rPr>
          <w:rFonts w:ascii="Times New Roman" w:hAnsi="Times New Roman" w:cs="Times New Roman"/>
          <w:sz w:val="24"/>
          <w:szCs w:val="24"/>
        </w:rPr>
        <w:t xml:space="preserve"> </w:t>
      </w:r>
    </w:p>
    <w:p w14:paraId="76D9D680" w14:textId="77777777" w:rsidR="00EF0B61" w:rsidRPr="002B1035" w:rsidRDefault="00EF0B61" w:rsidP="00EF0B61">
      <w:pPr>
        <w:pStyle w:val="NoSpacing"/>
        <w:rPr>
          <w:rFonts w:ascii="Times New Roman" w:hAnsi="Times New Roman" w:cs="Times New Roman"/>
          <w:sz w:val="24"/>
          <w:szCs w:val="24"/>
        </w:rPr>
      </w:pPr>
      <w:r w:rsidRPr="002B1035">
        <w:rPr>
          <w:rFonts w:ascii="Times New Roman" w:hAnsi="Times New Roman" w:cs="Times New Roman"/>
          <w:sz w:val="24"/>
          <w:szCs w:val="24"/>
        </w:rPr>
        <w:t xml:space="preserve">Meeting ID: 231 643 387 148, Passcode: NSd8Zx </w:t>
      </w:r>
    </w:p>
    <w:p w14:paraId="1E06DF5E" w14:textId="77777777" w:rsidR="00EF0B61" w:rsidRPr="002B1035" w:rsidRDefault="00EF0B61" w:rsidP="00EF0B61">
      <w:pPr>
        <w:pStyle w:val="NoSpacing"/>
        <w:rPr>
          <w:rFonts w:ascii="Times New Roman" w:hAnsi="Times New Roman" w:cs="Times New Roman"/>
          <w:sz w:val="24"/>
          <w:szCs w:val="24"/>
        </w:rPr>
      </w:pPr>
      <w:r w:rsidRPr="002B1035">
        <w:rPr>
          <w:rFonts w:ascii="Times New Roman" w:hAnsi="Times New Roman" w:cs="Times New Roman"/>
          <w:sz w:val="24"/>
          <w:szCs w:val="24"/>
        </w:rPr>
        <w:t xml:space="preserve">Or call in (audio only): 1-502-632-6289, Conference ID: 991 249 615# </w:t>
      </w:r>
    </w:p>
    <w:p w14:paraId="08B3DE29" w14:textId="77777777" w:rsidR="00EF0B61" w:rsidRPr="002B5337" w:rsidRDefault="00EF0B61" w:rsidP="00272214"/>
    <w:p w14:paraId="775E8988" w14:textId="77777777" w:rsidR="00EF0B61" w:rsidRDefault="00EF0B61" w:rsidP="00D038D6">
      <w:pPr>
        <w:pStyle w:val="Heading2"/>
      </w:pPr>
      <w:bookmarkStart w:id="41" w:name="_Toc150417387"/>
      <w:r w:rsidRPr="00EF0B61">
        <w:lastRenderedPageBreak/>
        <w:t>Public Comments</w:t>
      </w:r>
      <w:bookmarkEnd w:id="41"/>
    </w:p>
    <w:p w14:paraId="252E8A40" w14:textId="1842C23F" w:rsidR="003E3467" w:rsidRDefault="00EF0B61" w:rsidP="000623FF">
      <w:r w:rsidRPr="002B5337">
        <w:t xml:space="preserve">A draft of the Demonstration amendment application and copies of this notice are available on the </w:t>
      </w:r>
      <w:r w:rsidR="001E52F0" w:rsidRPr="001E52F0">
        <w:t> </w:t>
      </w:r>
      <w:hyperlink r:id="rId18" w:history="1">
        <w:r w:rsidR="001E52F0" w:rsidRPr="001E52F0">
          <w:rPr>
            <w:rStyle w:val="Hyperlink"/>
          </w:rPr>
          <w:t>Review the Public N</w:t>
        </w:r>
        <w:r w:rsidR="001E52F0" w:rsidRPr="001E52F0">
          <w:rPr>
            <w:rStyle w:val="Hyperlink"/>
          </w:rPr>
          <w:t>o</w:t>
        </w:r>
        <w:r w:rsidR="001E52F0" w:rsidRPr="001E52F0">
          <w:rPr>
            <w:rStyle w:val="Hyperlink"/>
          </w:rPr>
          <w:t>tice ​</w:t>
        </w:r>
      </w:hyperlink>
      <w:r w:rsidR="001E52F0" w:rsidRPr="001E52F0">
        <w:t>and </w:t>
      </w:r>
      <w:hyperlink r:id="rId19" w:tgtFrame="_blank" w:history="1">
        <w:r w:rsidR="001E52F0" w:rsidRPr="001E52F0">
          <w:rPr>
            <w:rStyle w:val="Hyperlink"/>
          </w:rPr>
          <w:t>Amendment Appli</w:t>
        </w:r>
        <w:r w:rsidR="001E52F0" w:rsidRPr="001E52F0">
          <w:rPr>
            <w:rStyle w:val="Hyperlink"/>
          </w:rPr>
          <w:t>c</w:t>
        </w:r>
        <w:r w:rsidR="001E52F0" w:rsidRPr="001E52F0">
          <w:rPr>
            <w:rStyle w:val="Hyperlink"/>
          </w:rPr>
          <w:t>ation</w:t>
        </w:r>
      </w:hyperlink>
      <w:r w:rsidR="001E52F0" w:rsidRPr="001E52F0">
        <w:t>.</w:t>
      </w:r>
    </w:p>
    <w:p w14:paraId="469582A1" w14:textId="77777777" w:rsidR="002B1035" w:rsidRDefault="002B1035" w:rsidP="00272214">
      <w:r>
        <w:t>Notices</w:t>
      </w:r>
      <w:r w:rsidRPr="002B5337">
        <w:t xml:space="preserve"> </w:t>
      </w:r>
      <w:r w:rsidR="00EF0B61" w:rsidRPr="002B5337">
        <w:t>are available in the following news publicatio</w:t>
      </w:r>
      <w:r w:rsidR="00EF0B61" w:rsidRPr="00EF0B61">
        <w:t>ns: Louisville Courier-Journal, Lexington Herald Leader</w:t>
      </w:r>
      <w:r w:rsidR="0011491D">
        <w:t>,</w:t>
      </w:r>
      <w:r w:rsidR="00EF0B61" w:rsidRPr="00EF0B61">
        <w:t xml:space="preserve"> and the Cincinnati Enquirer.</w:t>
      </w:r>
      <w:r w:rsidRPr="002B5337" w:rsidDel="002B1035">
        <w:t xml:space="preserve"> </w:t>
      </w:r>
    </w:p>
    <w:p w14:paraId="70C1345D" w14:textId="096F2F56" w:rsidR="002B1035" w:rsidRDefault="00EF0B61" w:rsidP="00272214">
      <w:r w:rsidRPr="002B5337">
        <w:t xml:space="preserve">Comments or inquiries should be submitted via email received on or before December 9, </w:t>
      </w:r>
      <w:proofErr w:type="gramStart"/>
      <w:r w:rsidRPr="002B5337">
        <w:t>2023</w:t>
      </w:r>
      <w:proofErr w:type="gramEnd"/>
      <w:r w:rsidRPr="002B5337">
        <w:t xml:space="preserve"> to: </w:t>
      </w:r>
      <w:hyperlink r:id="rId20" w:history="1">
        <w:r w:rsidR="000623FF" w:rsidRPr="000623FF">
          <w:rPr>
            <w:rStyle w:val="Hyperlink"/>
          </w:rPr>
          <w:t>1115 KY Reentry</w:t>
        </w:r>
      </w:hyperlink>
      <w:r w:rsidRPr="002B5337">
        <w:t xml:space="preserve">. </w:t>
      </w:r>
    </w:p>
    <w:p w14:paraId="3F02BC16" w14:textId="77777777" w:rsidR="00EF0B61" w:rsidRDefault="00EF0B61" w:rsidP="00272214">
      <w:r w:rsidRPr="002B5337">
        <w:t xml:space="preserve">Written comments must be postmarked by December 9, </w:t>
      </w:r>
      <w:proofErr w:type="gramStart"/>
      <w:r w:rsidRPr="002B5337">
        <w:t>2023</w:t>
      </w:r>
      <w:proofErr w:type="gramEnd"/>
      <w:r w:rsidRPr="002B5337">
        <w:t xml:space="preserve"> and mailed to: </w:t>
      </w:r>
    </w:p>
    <w:p w14:paraId="66F66BD6" w14:textId="77777777" w:rsidR="00EF0B61" w:rsidRPr="002B5337" w:rsidRDefault="00EF0B61" w:rsidP="000D1120">
      <w:pPr>
        <w:spacing w:after="0"/>
      </w:pPr>
      <w:r w:rsidRPr="002B5337">
        <w:t xml:space="preserve">Kentucky Medicaid Section 1115 Comment </w:t>
      </w:r>
    </w:p>
    <w:p w14:paraId="1693D466" w14:textId="77777777" w:rsidR="00EF0B61" w:rsidRPr="002B5337" w:rsidRDefault="000C680C" w:rsidP="000D1120">
      <w:pPr>
        <w:spacing w:after="0"/>
      </w:pPr>
      <w:r w:rsidRPr="002B5337">
        <w:t>C/o</w:t>
      </w:r>
      <w:r w:rsidR="00EF0B61" w:rsidRPr="002B5337">
        <w:t xml:space="preserve"> DMS Commissioner’s Office </w:t>
      </w:r>
    </w:p>
    <w:p w14:paraId="404816DC" w14:textId="77777777" w:rsidR="009F36C7" w:rsidRDefault="00EF0B61" w:rsidP="000D1120">
      <w:pPr>
        <w:spacing w:after="0"/>
      </w:pPr>
      <w:r w:rsidRPr="002B5337">
        <w:t xml:space="preserve">275 E. Main St. 6W-A </w:t>
      </w:r>
    </w:p>
    <w:p w14:paraId="28A1CC8A" w14:textId="77777777" w:rsidR="00EF0B61" w:rsidRPr="002B5337" w:rsidRDefault="00EF0B61" w:rsidP="000D1120">
      <w:r w:rsidRPr="002B5337">
        <w:t>Frankfort, KY 40621</w:t>
      </w:r>
    </w:p>
    <w:p w14:paraId="6230A312" w14:textId="7EE8FE96" w:rsidR="00B63EA3" w:rsidRPr="00D20454" w:rsidRDefault="000C128B" w:rsidP="00D20454">
      <w:pPr>
        <w:pStyle w:val="Heading1"/>
      </w:pPr>
      <w:bookmarkStart w:id="42" w:name="_Toc150417388"/>
      <w:r w:rsidRPr="009E6DD5">
        <w:rPr>
          <w:u w:color="000000"/>
        </w:rPr>
        <w:t>Section IX</w:t>
      </w:r>
      <w:r w:rsidRPr="009E6DD5">
        <w:rPr>
          <w:spacing w:val="-7"/>
          <w:u w:color="000000"/>
        </w:rPr>
        <w:t xml:space="preserve"> </w:t>
      </w:r>
      <w:r w:rsidRPr="009E6DD5">
        <w:rPr>
          <w:u w:color="000000"/>
        </w:rPr>
        <w:t>– Demonstration</w:t>
      </w:r>
      <w:r w:rsidRPr="009E6DD5">
        <w:rPr>
          <w:spacing w:val="-2"/>
          <w:u w:color="000000"/>
        </w:rPr>
        <w:t xml:space="preserve"> Administration</w:t>
      </w:r>
      <w:bookmarkEnd w:id="42"/>
    </w:p>
    <w:p w14:paraId="7EECDAAD" w14:textId="51262963" w:rsidR="00B63EA3" w:rsidRPr="009E6DD5" w:rsidRDefault="000C128B" w:rsidP="009F36C7">
      <w:r w:rsidRPr="009E6DD5">
        <w:t>Please provide the contact information for</w:t>
      </w:r>
      <w:r w:rsidRPr="009E6DD5">
        <w:rPr>
          <w:spacing w:val="-4"/>
        </w:rPr>
        <w:t xml:space="preserve"> </w:t>
      </w:r>
      <w:r w:rsidR="00100F08">
        <w:t>Kentucky</w:t>
      </w:r>
      <w:r w:rsidR="00100F08" w:rsidRPr="009E6DD5">
        <w:t xml:space="preserve">’s </w:t>
      </w:r>
      <w:r w:rsidRPr="009E6DD5">
        <w:t>point of contact for</w:t>
      </w:r>
      <w:r w:rsidRPr="009E6DD5">
        <w:rPr>
          <w:spacing w:val="-4"/>
        </w:rPr>
        <w:t xml:space="preserve"> </w:t>
      </w:r>
      <w:r w:rsidRPr="009E6DD5">
        <w:t>the Demonstration</w:t>
      </w:r>
      <w:r w:rsidRPr="009E6DD5">
        <w:rPr>
          <w:spacing w:val="91"/>
        </w:rPr>
        <w:t xml:space="preserve"> </w:t>
      </w:r>
      <w:r w:rsidRPr="009E6DD5">
        <w:t>application.</w:t>
      </w:r>
    </w:p>
    <w:p w14:paraId="5F8E29B0" w14:textId="77777777" w:rsidR="0054471D" w:rsidRPr="009E6DD5" w:rsidRDefault="0054471D" w:rsidP="000D1120">
      <w:pPr>
        <w:pStyle w:val="BodyText"/>
        <w:spacing w:after="120"/>
        <w:ind w:left="0" w:firstLine="0"/>
      </w:pPr>
      <w:r w:rsidRPr="009F36C7">
        <w:rPr>
          <w:b/>
        </w:rPr>
        <w:t xml:space="preserve">Name: </w:t>
      </w:r>
      <w:r w:rsidRPr="009E6DD5">
        <w:t>Leslie H. Hoffmann</w:t>
      </w:r>
    </w:p>
    <w:p w14:paraId="6BE2351A" w14:textId="06658EDE" w:rsidR="0054471D" w:rsidRPr="009E6DD5" w:rsidRDefault="0054471D" w:rsidP="000D1120">
      <w:pPr>
        <w:pStyle w:val="BodyText"/>
        <w:spacing w:after="120"/>
        <w:ind w:left="0" w:firstLine="0"/>
      </w:pPr>
      <w:r w:rsidRPr="009F36C7">
        <w:rPr>
          <w:b/>
        </w:rPr>
        <w:t xml:space="preserve">Title: </w:t>
      </w:r>
      <w:r w:rsidR="0088199D">
        <w:t>Deputy Commissioner</w:t>
      </w:r>
    </w:p>
    <w:p w14:paraId="601C236D" w14:textId="77777777" w:rsidR="0054471D" w:rsidRPr="009E6DD5" w:rsidRDefault="0054471D" w:rsidP="000D1120">
      <w:pPr>
        <w:pStyle w:val="BodyText"/>
        <w:spacing w:after="120"/>
        <w:ind w:left="0" w:firstLine="0"/>
      </w:pPr>
      <w:r w:rsidRPr="009F36C7">
        <w:rPr>
          <w:b/>
        </w:rPr>
        <w:t>Agency:</w:t>
      </w:r>
      <w:r w:rsidRPr="009E6DD5">
        <w:t xml:space="preserve"> Department for Medicaid Services</w:t>
      </w:r>
    </w:p>
    <w:p w14:paraId="3287E58A" w14:textId="77777777" w:rsidR="0054471D" w:rsidRPr="009E6DD5" w:rsidRDefault="0054471D" w:rsidP="000D1120">
      <w:pPr>
        <w:pStyle w:val="BodyText"/>
        <w:spacing w:after="120"/>
        <w:ind w:left="0" w:firstLine="0"/>
      </w:pPr>
      <w:r w:rsidRPr="009F36C7">
        <w:rPr>
          <w:b/>
        </w:rPr>
        <w:t xml:space="preserve">Address: </w:t>
      </w:r>
      <w:r w:rsidRPr="009E6DD5">
        <w:t>275 East Main Street</w:t>
      </w:r>
    </w:p>
    <w:p w14:paraId="227DA9EA" w14:textId="77777777" w:rsidR="0054471D" w:rsidRPr="009E6DD5" w:rsidRDefault="0054471D" w:rsidP="000D1120">
      <w:pPr>
        <w:pStyle w:val="BodyText"/>
        <w:spacing w:after="120"/>
        <w:ind w:left="0" w:firstLine="0"/>
      </w:pPr>
      <w:r w:rsidRPr="009F36C7">
        <w:rPr>
          <w:b/>
        </w:rPr>
        <w:t>City/State/Zip:</w:t>
      </w:r>
      <w:r w:rsidRPr="009E6DD5">
        <w:t xml:space="preserve"> Frankfort, Kentucky 40601</w:t>
      </w:r>
    </w:p>
    <w:p w14:paraId="49EC3420" w14:textId="77777777" w:rsidR="0054471D" w:rsidRPr="009E6DD5" w:rsidRDefault="0054471D" w:rsidP="000D1120">
      <w:pPr>
        <w:pStyle w:val="BodyText"/>
        <w:spacing w:after="120"/>
        <w:ind w:left="0" w:firstLine="0"/>
      </w:pPr>
      <w:r w:rsidRPr="009F36C7">
        <w:rPr>
          <w:b/>
        </w:rPr>
        <w:t xml:space="preserve">Telephone Number: </w:t>
      </w:r>
      <w:r w:rsidRPr="009E6DD5">
        <w:t>502</w:t>
      </w:r>
      <w:r w:rsidR="009F36C7">
        <w:t>.</w:t>
      </w:r>
      <w:r w:rsidRPr="009E6DD5">
        <w:t>564</w:t>
      </w:r>
      <w:r w:rsidR="009F36C7">
        <w:t>.</w:t>
      </w:r>
      <w:r w:rsidRPr="009E6DD5">
        <w:t>4321, Ext. 2883</w:t>
      </w:r>
    </w:p>
    <w:p w14:paraId="0598795C" w14:textId="77777777" w:rsidR="00B63EA3" w:rsidRDefault="0054471D" w:rsidP="000D1120">
      <w:pPr>
        <w:pStyle w:val="BodyText"/>
        <w:ind w:left="0" w:firstLine="0"/>
        <w:rPr>
          <w:spacing w:val="-3"/>
        </w:rPr>
      </w:pPr>
      <w:r w:rsidRPr="009F36C7">
        <w:rPr>
          <w:b/>
          <w:spacing w:val="-3"/>
        </w:rPr>
        <w:t>Email Address:</w:t>
      </w:r>
      <w:r w:rsidRPr="009E6DD5">
        <w:rPr>
          <w:spacing w:val="-3"/>
        </w:rPr>
        <w:t xml:space="preserve"> </w:t>
      </w:r>
      <w:r w:rsidR="004223E5" w:rsidRPr="009965D5">
        <w:t>leslie.hoffmann@ky.gov</w:t>
      </w:r>
    </w:p>
    <w:p w14:paraId="457467B5" w14:textId="77777777" w:rsidR="002B1035" w:rsidRPr="009E6DD5" w:rsidRDefault="002B1035" w:rsidP="00272214">
      <w:pPr>
        <w:pStyle w:val="BodyText"/>
      </w:pPr>
    </w:p>
    <w:sectPr w:rsidR="002B1035" w:rsidRPr="009E6DD5" w:rsidSect="00170E0C">
      <w:headerReference w:type="default" r:id="rId21"/>
      <w:footerReference w:type="default" r:id="rId22"/>
      <w:pgSz w:w="12240" w:h="15840" w:code="1"/>
      <w:pgMar w:top="1440" w:right="1440" w:bottom="1350" w:left="1440" w:header="28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839F" w14:textId="77777777" w:rsidR="00831A6C" w:rsidRDefault="00831A6C" w:rsidP="00272214">
      <w:r>
        <w:separator/>
      </w:r>
    </w:p>
  </w:endnote>
  <w:endnote w:type="continuationSeparator" w:id="0">
    <w:p w14:paraId="7CC6977D" w14:textId="77777777" w:rsidR="00831A6C" w:rsidRDefault="00831A6C" w:rsidP="0027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00B7" w14:textId="23D6B099" w:rsidR="001A1A35" w:rsidRPr="007D0B64" w:rsidRDefault="001A1A35" w:rsidP="007D0B64">
    <w:pPr>
      <w:pStyle w:val="Footer"/>
      <w:spacing w:after="0"/>
      <w:jc w:val="right"/>
      <w:rPr>
        <w:sz w:val="20"/>
      </w:rPr>
    </w:pPr>
    <w:r w:rsidRPr="007D0B64">
      <w:rPr>
        <w:sz w:val="20"/>
      </w:rPr>
      <w:t xml:space="preserve">Page </w:t>
    </w:r>
    <w:sdt>
      <w:sdtPr>
        <w:rPr>
          <w:sz w:val="20"/>
        </w:rPr>
        <w:id w:val="1109083668"/>
        <w:docPartObj>
          <w:docPartGallery w:val="Page Numbers (Bottom of Page)"/>
          <w:docPartUnique/>
        </w:docPartObj>
      </w:sdtPr>
      <w:sdtEndPr>
        <w:rPr>
          <w:noProof/>
        </w:rPr>
      </w:sdtEndPr>
      <w:sdtContent>
        <w:r w:rsidRPr="007D0B64">
          <w:rPr>
            <w:sz w:val="20"/>
          </w:rPr>
          <w:fldChar w:fldCharType="begin"/>
        </w:r>
        <w:r w:rsidRPr="007D0B64">
          <w:rPr>
            <w:sz w:val="20"/>
          </w:rPr>
          <w:instrText xml:space="preserve"> PAGE   \* MERGEFORMAT </w:instrText>
        </w:r>
        <w:r w:rsidRPr="007D0B64">
          <w:rPr>
            <w:sz w:val="20"/>
          </w:rPr>
          <w:fldChar w:fldCharType="separate"/>
        </w:r>
        <w:r w:rsidR="00895F24">
          <w:rPr>
            <w:noProof/>
            <w:sz w:val="20"/>
          </w:rPr>
          <w:t>1</w:t>
        </w:r>
        <w:r w:rsidRPr="007D0B64">
          <w:rPr>
            <w:noProof/>
            <w:sz w:val="20"/>
          </w:rPr>
          <w:fldChar w:fldCharType="end"/>
        </w:r>
      </w:sdtContent>
    </w:sdt>
  </w:p>
  <w:p w14:paraId="14EE5C93" w14:textId="448B0634" w:rsidR="001A1A35" w:rsidRPr="00D038D6" w:rsidRDefault="001A1A35" w:rsidP="00D038D6">
    <w:pPr>
      <w:pStyle w:val="Footer"/>
      <w:tabs>
        <w:tab w:val="clear" w:pos="8640"/>
        <w:tab w:val="right" w:pos="12960"/>
      </w:tabs>
      <w:rPr>
        <w:sz w:val="20"/>
        <w:szCs w:val="20"/>
      </w:rPr>
    </w:pPr>
    <w:r>
      <w:rPr>
        <w:sz w:val="20"/>
        <w:szCs w:val="20"/>
      </w:rPr>
      <w:t>November 9</w:t>
    </w:r>
    <w:r w:rsidRPr="00D038D6">
      <w:rPr>
        <w:sz w:val="20"/>
        <w:szCs w:val="20"/>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DE4A" w14:textId="72205797" w:rsidR="001A1A35" w:rsidRPr="00D038D6" w:rsidRDefault="001A1A35" w:rsidP="00D038D6">
    <w:pPr>
      <w:pStyle w:val="Footer"/>
      <w:tabs>
        <w:tab w:val="clear" w:pos="8640"/>
        <w:tab w:val="right" w:pos="12960"/>
      </w:tabs>
      <w:rPr>
        <w:sz w:val="20"/>
        <w:szCs w:val="20"/>
      </w:rPr>
    </w:pPr>
    <w:r>
      <w:rPr>
        <w:sz w:val="20"/>
        <w:szCs w:val="20"/>
      </w:rPr>
      <w:t>November 9</w:t>
    </w:r>
    <w:r w:rsidRPr="00D038D6">
      <w:rPr>
        <w:sz w:val="20"/>
        <w:szCs w:val="20"/>
      </w:rPr>
      <w:t xml:space="preserve">, </w:t>
    </w:r>
    <w:proofErr w:type="gramStart"/>
    <w:r w:rsidRPr="00D038D6">
      <w:rPr>
        <w:sz w:val="20"/>
        <w:szCs w:val="20"/>
      </w:rPr>
      <w:t>2023</w:t>
    </w:r>
    <w:proofErr w:type="gramEnd"/>
    <w:r w:rsidRPr="00D038D6">
      <w:rPr>
        <w:sz w:val="20"/>
        <w:szCs w:val="20"/>
      </w:rPr>
      <w:tab/>
    </w:r>
    <w:r w:rsidRPr="00D038D6">
      <w:rPr>
        <w:sz w:val="20"/>
        <w:szCs w:val="20"/>
      </w:rPr>
      <w:tab/>
      <w:t xml:space="preserve">Page </w:t>
    </w:r>
    <w:sdt>
      <w:sdtPr>
        <w:rPr>
          <w:sz w:val="20"/>
          <w:szCs w:val="20"/>
        </w:rPr>
        <w:id w:val="-826735372"/>
        <w:docPartObj>
          <w:docPartGallery w:val="Page Numbers (Bottom of Page)"/>
          <w:docPartUnique/>
        </w:docPartObj>
      </w:sdtPr>
      <w:sdtEndPr>
        <w:rPr>
          <w:noProof/>
        </w:rPr>
      </w:sdtEndPr>
      <w:sdtContent>
        <w:r w:rsidRPr="00D038D6">
          <w:rPr>
            <w:sz w:val="20"/>
            <w:szCs w:val="20"/>
          </w:rPr>
          <w:fldChar w:fldCharType="begin"/>
        </w:r>
        <w:r w:rsidRPr="00D038D6">
          <w:rPr>
            <w:sz w:val="20"/>
            <w:szCs w:val="20"/>
          </w:rPr>
          <w:instrText xml:space="preserve"> PAGE   \* MERGEFORMAT </w:instrText>
        </w:r>
        <w:r w:rsidRPr="00D038D6">
          <w:rPr>
            <w:sz w:val="20"/>
            <w:szCs w:val="20"/>
          </w:rPr>
          <w:fldChar w:fldCharType="separate"/>
        </w:r>
        <w:r w:rsidR="00895F24">
          <w:rPr>
            <w:noProof/>
            <w:sz w:val="20"/>
            <w:szCs w:val="20"/>
          </w:rPr>
          <w:t>20</w:t>
        </w:r>
        <w:r w:rsidRPr="00D038D6">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5FFD" w14:textId="77777777" w:rsidR="00831A6C" w:rsidRPr="00D90FE0" w:rsidRDefault="00831A6C" w:rsidP="00D90FE0">
      <w:pPr>
        <w:pStyle w:val="Footer"/>
        <w:spacing w:after="0"/>
      </w:pPr>
      <w:r>
        <w:separator/>
      </w:r>
    </w:p>
  </w:footnote>
  <w:footnote w:type="continuationSeparator" w:id="0">
    <w:p w14:paraId="7749C43D" w14:textId="77777777" w:rsidR="00831A6C" w:rsidRDefault="00831A6C" w:rsidP="00272214">
      <w:r>
        <w:continuationSeparator/>
      </w:r>
    </w:p>
  </w:footnote>
  <w:footnote w:id="1">
    <w:p w14:paraId="1FE338DA" w14:textId="4E9FC744" w:rsidR="001A1A35" w:rsidRPr="003302F6" w:rsidRDefault="001A1A35" w:rsidP="00272214">
      <w:pPr>
        <w:pStyle w:val="FootnoteText"/>
      </w:pPr>
      <w:r w:rsidRPr="003302F6">
        <w:rPr>
          <w:rStyle w:val="FootnoteReference"/>
        </w:rPr>
        <w:footnoteRef/>
      </w:r>
      <w:r w:rsidRPr="003302F6">
        <w:t xml:space="preserve"> </w:t>
      </w:r>
      <w:r>
        <w:t>CMS</w:t>
      </w:r>
      <w:r w:rsidRPr="002B1035">
        <w:t xml:space="preserve">, 11-W-00304/0 and 21-W-0007101/0 </w:t>
      </w:r>
      <w:hyperlink r:id="rId1" w:history="1">
        <w:r w:rsidRPr="00544032">
          <w:rPr>
            <w:rStyle w:val="Hyperlink"/>
          </w:rPr>
          <w:t>Washington State Medicaid Transformation Project 2.0</w:t>
        </w:r>
      </w:hyperlink>
      <w:r>
        <w:t>.</w:t>
      </w:r>
    </w:p>
  </w:footnote>
  <w:footnote w:id="2">
    <w:p w14:paraId="6B08D923" w14:textId="77777777" w:rsidR="001A1A35" w:rsidRDefault="001A1A35" w:rsidP="00272214">
      <w:pPr>
        <w:pStyle w:val="FootnoteText"/>
      </w:pPr>
      <w:r w:rsidRPr="00831504">
        <w:rPr>
          <w:rStyle w:val="FootnoteReference"/>
        </w:rPr>
        <w:footnoteRef/>
      </w:r>
      <w:r w:rsidRPr="00831504">
        <w:t xml:space="preserve"> Note, the Commonwealth intends to cover all U.S. Food and Drug Administration (FDA) approved medications for </w:t>
      </w:r>
      <w:r>
        <w:t>OUD</w:t>
      </w:r>
      <w:r w:rsidRPr="00831504">
        <w:t>, including buprenorphine, methadone, and naltrexone</w:t>
      </w:r>
      <w:r>
        <w:t>,</w:t>
      </w:r>
      <w:r w:rsidRPr="00831504">
        <w:t xml:space="preserve"> as well as acamprosate and</w:t>
      </w:r>
      <w:r>
        <w:t xml:space="preserve"> </w:t>
      </w:r>
      <w:r w:rsidRPr="00831504">
        <w:t>naltrexone for alcohol use disorder.</w:t>
      </w:r>
    </w:p>
  </w:footnote>
  <w:footnote w:id="3">
    <w:p w14:paraId="4D7F090D" w14:textId="1E9D9D4C" w:rsidR="001A1A35" w:rsidRDefault="001A1A35" w:rsidP="002B58C9">
      <w:pPr>
        <w:pStyle w:val="FootnoteText"/>
        <w:spacing w:after="0"/>
      </w:pPr>
      <w:r w:rsidRPr="00831504">
        <w:rPr>
          <w:rStyle w:val="FootnoteReference"/>
        </w:rPr>
        <w:footnoteRef/>
      </w:r>
      <w:r w:rsidRPr="00831504">
        <w:t xml:space="preserve"> </w:t>
      </w:r>
      <w:r>
        <w:t>CMS</w:t>
      </w:r>
      <w:r w:rsidRPr="002B1035">
        <w:t xml:space="preserve">, 11-W-00304/0 and 21-W-0007101/0 </w:t>
      </w:r>
      <w:hyperlink r:id="rId2" w:history="1">
        <w:r w:rsidRPr="00544032">
          <w:rPr>
            <w:rStyle w:val="Hyperlink"/>
          </w:rPr>
          <w:t>Washington State Medicaid Transformation Project 2.0</w:t>
        </w:r>
      </w:hyperlink>
      <w:r>
        <w:t>. CMS</w:t>
      </w:r>
      <w:r w:rsidRPr="002B1035">
        <w:t xml:space="preserve">, </w:t>
      </w:r>
      <w:r w:rsidRPr="002B1035">
        <w:rPr>
          <w:i/>
        </w:rPr>
        <w:t>1</w:t>
      </w:r>
      <w:r w:rsidRPr="00DF3F53">
        <w:t>1-W-00193/9</w:t>
      </w:r>
      <w:r w:rsidRPr="002B1035">
        <w:rPr>
          <w:i/>
        </w:rPr>
        <w:t xml:space="preserve"> </w:t>
      </w:r>
      <w:hyperlink r:id="rId3" w:history="1">
        <w:r w:rsidRPr="00544032">
          <w:rPr>
            <w:rStyle w:val="Hyperlink"/>
            <w:i/>
          </w:rPr>
          <w:t xml:space="preserve">California </w:t>
        </w:r>
        <w:r w:rsidRPr="00544032">
          <w:rPr>
            <w:rStyle w:val="Hyperlink"/>
            <w:i/>
          </w:rPr>
          <w:t>CalAIM Demonstration</w:t>
        </w:r>
      </w:hyperlink>
      <w:r>
        <w:t>.</w:t>
      </w:r>
    </w:p>
  </w:footnote>
  <w:footnote w:id="4">
    <w:p w14:paraId="1D8B22F3" w14:textId="1FA83152" w:rsidR="001A1A35" w:rsidRPr="00961C27" w:rsidRDefault="001A1A35" w:rsidP="002B58C9">
      <w:pPr>
        <w:pStyle w:val="FootnoteText"/>
        <w:spacing w:after="0"/>
      </w:pPr>
      <w:r>
        <w:rPr>
          <w:rStyle w:val="FootnoteReference"/>
        </w:rPr>
        <w:footnoteRef/>
      </w:r>
      <w:r>
        <w:t xml:space="preserve"> </w:t>
      </w:r>
      <w:r w:rsidRPr="00961C27">
        <w:t xml:space="preserve">2022 </w:t>
      </w:r>
      <w:hyperlink r:id="rId4" w:history="1">
        <w:r w:rsidRPr="00544032">
          <w:rPr>
            <w:rStyle w:val="Hyperlink"/>
          </w:rPr>
          <w:t>Kentucky Acts 230</w:t>
        </w:r>
      </w:hyperlink>
      <w:r>
        <w:t>.</w:t>
      </w:r>
    </w:p>
  </w:footnote>
  <w:footnote w:id="5">
    <w:p w14:paraId="7DC874FA" w14:textId="1278DFEC" w:rsidR="001A1A35" w:rsidRPr="003302F6" w:rsidRDefault="001A1A35" w:rsidP="002B58C9">
      <w:pPr>
        <w:pStyle w:val="FootnoteText"/>
        <w:spacing w:after="0"/>
      </w:pPr>
      <w:r w:rsidRPr="003302F6">
        <w:rPr>
          <w:rStyle w:val="FootnoteReference"/>
        </w:rPr>
        <w:footnoteRef/>
      </w:r>
      <w:r w:rsidRPr="003302F6">
        <w:t xml:space="preserve"> </w:t>
      </w:r>
      <w:r w:rsidRPr="003302F6">
        <w:rPr>
          <w:i/>
        </w:rPr>
        <w:t>See</w:t>
      </w:r>
      <w:r w:rsidRPr="003302F6">
        <w:t xml:space="preserve"> Office of Disease Prevention and Health Promotion, Incarceration – </w:t>
      </w:r>
      <w:hyperlink r:id="rId5" w:history="1">
        <w:r w:rsidRPr="00544032">
          <w:rPr>
            <w:rStyle w:val="Hyperlink"/>
          </w:rPr>
          <w:t>Healthy People 2030</w:t>
        </w:r>
      </w:hyperlink>
      <w:r>
        <w:t>.</w:t>
      </w:r>
    </w:p>
  </w:footnote>
  <w:footnote w:id="6">
    <w:p w14:paraId="0E3C9D93" w14:textId="42331F00" w:rsidR="001A1A35" w:rsidRPr="003302F6" w:rsidRDefault="001A1A35" w:rsidP="002B58C9">
      <w:pPr>
        <w:pStyle w:val="FootnoteText"/>
        <w:spacing w:after="0"/>
        <w:rPr>
          <w:highlight w:val="yellow"/>
        </w:rPr>
      </w:pPr>
      <w:r w:rsidRPr="003302F6">
        <w:rPr>
          <w:rStyle w:val="FootnoteReference"/>
        </w:rPr>
        <w:footnoteRef/>
      </w:r>
      <w:r w:rsidRPr="003302F6">
        <w:t xml:space="preserve"> </w:t>
      </w:r>
      <w:r w:rsidRPr="003302F6">
        <w:rPr>
          <w:i/>
        </w:rPr>
        <w:t xml:space="preserve">See </w:t>
      </w:r>
      <w:r w:rsidRPr="003302F6">
        <w:t xml:space="preserve">Bureau of Justice Statistics, </w:t>
      </w:r>
      <w:hyperlink r:id="rId6" w:history="1">
        <w:r w:rsidRPr="00544032">
          <w:rPr>
            <w:rStyle w:val="Hyperlink"/>
          </w:rPr>
          <w:t>Impact of COVID-19 on State and Federal Prisons</w:t>
        </w:r>
      </w:hyperlink>
      <w:r w:rsidRPr="003302F6">
        <w:t>, March 2020 – February 2021 (2022)</w:t>
      </w:r>
      <w:r>
        <w:t>.</w:t>
      </w:r>
    </w:p>
  </w:footnote>
  <w:footnote w:id="7">
    <w:p w14:paraId="4675C288" w14:textId="77777777" w:rsidR="001A1A35" w:rsidRPr="003302F6" w:rsidRDefault="001A1A35" w:rsidP="002B58C9">
      <w:pPr>
        <w:pStyle w:val="FootnoteText"/>
        <w:spacing w:after="0"/>
      </w:pPr>
      <w:r w:rsidRPr="003302F6">
        <w:rPr>
          <w:rStyle w:val="FootnoteReference"/>
        </w:rPr>
        <w:footnoteRef/>
      </w:r>
      <w:r w:rsidRPr="003302F6">
        <w:t xml:space="preserve"> Id.</w:t>
      </w:r>
      <w:r w:rsidRPr="003302F6" w:rsidDel="00BD2979">
        <w:t xml:space="preserve"> </w:t>
      </w:r>
    </w:p>
  </w:footnote>
  <w:footnote w:id="8">
    <w:p w14:paraId="2EB4A2BD" w14:textId="3E391AAB" w:rsidR="001A1A35" w:rsidRPr="003302F6" w:rsidRDefault="001A1A35" w:rsidP="002B58C9">
      <w:pPr>
        <w:pStyle w:val="FootnoteText"/>
        <w:spacing w:after="0"/>
        <w:rPr>
          <w:highlight w:val="yellow"/>
        </w:rPr>
      </w:pPr>
      <w:r w:rsidRPr="003302F6">
        <w:rPr>
          <w:rStyle w:val="FootnoteReference"/>
        </w:rPr>
        <w:footnoteRef/>
      </w:r>
      <w:r w:rsidRPr="003302F6">
        <w:t xml:space="preserve"> </w:t>
      </w:r>
      <w:r w:rsidRPr="003302F6">
        <w:rPr>
          <w:i/>
        </w:rPr>
        <w:t xml:space="preserve">See </w:t>
      </w:r>
      <w:r w:rsidRPr="003302F6">
        <w:t>U.S. Dep</w:t>
      </w:r>
      <w:r>
        <w:t>ar</w:t>
      </w:r>
      <w:r w:rsidRPr="003302F6">
        <w:t>t</w:t>
      </w:r>
      <w:r>
        <w:t>ment</w:t>
      </w:r>
      <w:r w:rsidRPr="003302F6">
        <w:t xml:space="preserve"> of Justice Bureau of Justice Statistics,</w:t>
      </w:r>
      <w:hyperlink r:id="rId7" w:history="1">
        <w:r w:rsidRPr="00544032">
          <w:rPr>
            <w:rStyle w:val="Hyperlink"/>
          </w:rPr>
          <w:t xml:space="preserve"> Federal Justice Statistics, 2020</w:t>
        </w:r>
      </w:hyperlink>
      <w:r w:rsidRPr="003302F6">
        <w:t xml:space="preserve"> (2022)</w:t>
      </w:r>
      <w:r>
        <w:t>.</w:t>
      </w:r>
    </w:p>
  </w:footnote>
  <w:footnote w:id="9">
    <w:p w14:paraId="62D40380" w14:textId="2FC0D987" w:rsidR="001A1A35" w:rsidRPr="003302F6" w:rsidRDefault="001A1A35" w:rsidP="002B58C9">
      <w:pPr>
        <w:pStyle w:val="FootnoteText"/>
        <w:spacing w:after="0"/>
      </w:pPr>
      <w:r w:rsidRPr="003302F6">
        <w:rPr>
          <w:rStyle w:val="FootnoteReference"/>
        </w:rPr>
        <w:footnoteRef/>
      </w:r>
      <w:r w:rsidRPr="003302F6">
        <w:t xml:space="preserve"> Office of Disease Prevention and Health Promotion, Incarceration – </w:t>
      </w:r>
      <w:hyperlink r:id="rId8" w:history="1">
        <w:r w:rsidRPr="00544032">
          <w:rPr>
            <w:rStyle w:val="Hyperlink"/>
          </w:rPr>
          <w:t>Healthy People 2030</w:t>
        </w:r>
      </w:hyperlink>
      <w:r w:rsidRPr="003302F6">
        <w:t>.</w:t>
      </w:r>
    </w:p>
  </w:footnote>
  <w:footnote w:id="10">
    <w:p w14:paraId="7A973357" w14:textId="1465EDDB" w:rsidR="001A1A35" w:rsidRPr="003302F6" w:rsidRDefault="001A1A35" w:rsidP="002B58C9">
      <w:pPr>
        <w:pStyle w:val="FootnoteText"/>
        <w:spacing w:after="0"/>
      </w:pPr>
      <w:r w:rsidRPr="003302F6">
        <w:rPr>
          <w:rStyle w:val="FootnoteReference"/>
        </w:rPr>
        <w:footnoteRef/>
      </w:r>
      <w:r w:rsidRPr="003302F6">
        <w:t xml:space="preserve"> U.S. Dep</w:t>
      </w:r>
      <w:r>
        <w:t>ar</w:t>
      </w:r>
      <w:r w:rsidRPr="003302F6">
        <w:t>t</w:t>
      </w:r>
      <w:r>
        <w:t>ment</w:t>
      </w:r>
      <w:r w:rsidRPr="003302F6">
        <w:t xml:space="preserve"> of Justice Bureau of Justice Statistics, </w:t>
      </w:r>
      <w:hyperlink r:id="rId9" w:history="1">
        <w:r w:rsidRPr="00544032">
          <w:rPr>
            <w:rStyle w:val="Hyperlink"/>
          </w:rPr>
          <w:t>Federal Justice Statistics, 2020</w:t>
        </w:r>
      </w:hyperlink>
      <w:r w:rsidRPr="003302F6">
        <w:t xml:space="preserve"> (2022)</w:t>
      </w:r>
      <w:r>
        <w:t>.</w:t>
      </w:r>
    </w:p>
  </w:footnote>
  <w:footnote w:id="11">
    <w:p w14:paraId="15999BC0" w14:textId="2562ADEC" w:rsidR="001A1A35" w:rsidRPr="003302F6" w:rsidRDefault="001A1A35" w:rsidP="002B58C9">
      <w:pPr>
        <w:pStyle w:val="FootnoteText"/>
        <w:spacing w:after="0"/>
      </w:pPr>
      <w:r w:rsidRPr="003302F6">
        <w:rPr>
          <w:rStyle w:val="FootnoteReference"/>
        </w:rPr>
        <w:footnoteRef/>
      </w:r>
      <w:r w:rsidRPr="003302F6">
        <w:t xml:space="preserve"> Office of Disease Prevention and Health Promotion, Incarceration – </w:t>
      </w:r>
      <w:hyperlink r:id="rId10" w:history="1">
        <w:r w:rsidRPr="00544032">
          <w:rPr>
            <w:rStyle w:val="Hyperlink"/>
          </w:rPr>
          <w:t>Healthy People 2030.</w:t>
        </w:r>
      </w:hyperlink>
    </w:p>
  </w:footnote>
  <w:footnote w:id="12">
    <w:p w14:paraId="40F8D411" w14:textId="55B6F586" w:rsidR="001A1A35" w:rsidRPr="003302F6" w:rsidRDefault="001A1A35" w:rsidP="002B58C9">
      <w:pPr>
        <w:pStyle w:val="FootnoteText"/>
        <w:spacing w:after="0"/>
      </w:pPr>
      <w:r w:rsidRPr="003302F6">
        <w:rPr>
          <w:rStyle w:val="FootnoteReference"/>
        </w:rPr>
        <w:footnoteRef/>
      </w:r>
      <w:r w:rsidRPr="003302F6">
        <w:t xml:space="preserve"> </w:t>
      </w:r>
      <w:r w:rsidRPr="003302F6">
        <w:rPr>
          <w:i/>
        </w:rPr>
        <w:t xml:space="preserve">See </w:t>
      </w:r>
      <w:hyperlink r:id="rId11" w:history="1">
        <w:r w:rsidRPr="00B72EDC">
          <w:rPr>
            <w:rStyle w:val="Hyperlink"/>
          </w:rPr>
          <w:t>Youth Involved with the Juvenile Justice System</w:t>
        </w:r>
      </w:hyperlink>
      <w:r>
        <w:t>.</w:t>
      </w:r>
    </w:p>
  </w:footnote>
  <w:footnote w:id="13">
    <w:p w14:paraId="24EC5650" w14:textId="66F5F7C2" w:rsidR="001A1A35" w:rsidRPr="003302F6" w:rsidRDefault="001A1A35" w:rsidP="002B58C9">
      <w:pPr>
        <w:pStyle w:val="FootnoteText"/>
        <w:spacing w:after="0"/>
      </w:pPr>
      <w:r w:rsidRPr="003302F6">
        <w:rPr>
          <w:rStyle w:val="FootnoteReference"/>
        </w:rPr>
        <w:footnoteRef/>
      </w:r>
      <w:r w:rsidRPr="003302F6">
        <w:t xml:space="preserve"> Id.</w:t>
      </w:r>
      <w:r>
        <w:t xml:space="preserve"> </w:t>
      </w:r>
      <w:r w:rsidRPr="003302F6">
        <w:t xml:space="preserve">Office of Juvenile Justice and Delinquency Prevention, Research Central: </w:t>
      </w:r>
      <w:hyperlink r:id="rId12" w:history="1">
        <w:r w:rsidRPr="00B72EDC">
          <w:rPr>
            <w:rStyle w:val="Hyperlink"/>
          </w:rPr>
          <w:t>Measuring What Works in Juvenile Reentry (2020)</w:t>
        </w:r>
      </w:hyperlink>
      <w:r w:rsidRPr="003302F6">
        <w:t xml:space="preserve">. </w:t>
      </w:r>
    </w:p>
  </w:footnote>
  <w:footnote w:id="14">
    <w:p w14:paraId="19B7EF24" w14:textId="052EC4C4" w:rsidR="001A1A35" w:rsidRPr="003302F6" w:rsidRDefault="001A1A35" w:rsidP="002B58C9">
      <w:pPr>
        <w:pStyle w:val="FootnoteText"/>
        <w:spacing w:after="0"/>
      </w:pPr>
      <w:r w:rsidRPr="003302F6">
        <w:rPr>
          <w:rStyle w:val="FootnoteReference"/>
        </w:rPr>
        <w:footnoteRef/>
      </w:r>
      <w:r w:rsidRPr="003302F6">
        <w:t xml:space="preserve"> Elizabeth S. </w:t>
      </w:r>
      <w:r w:rsidRPr="003302F6">
        <w:t xml:space="preserve">Barnert, et al., </w:t>
      </w:r>
      <w:hyperlink r:id="rId13" w:history="1">
        <w:r w:rsidRPr="00B72EDC">
          <w:rPr>
            <w:rStyle w:val="Hyperlink"/>
            <w:i/>
          </w:rPr>
          <w:t>How Does Incarcerating Young People Affect Their Adult Outcomes?</w:t>
        </w:r>
      </w:hyperlink>
      <w:r w:rsidRPr="003302F6">
        <w:rPr>
          <w:smallCaps/>
        </w:rPr>
        <w:t xml:space="preserve">, </w:t>
      </w:r>
      <w:r w:rsidRPr="009965D5">
        <w:t>Official Journal of the American Academy of Pediatrics</w:t>
      </w:r>
      <w:r w:rsidRPr="003302F6">
        <w:t xml:space="preserve"> (Feb</w:t>
      </w:r>
      <w:r>
        <w:t>ruary</w:t>
      </w:r>
      <w:r w:rsidRPr="003302F6">
        <w:t xml:space="preserve"> 2017)</w:t>
      </w:r>
      <w:r>
        <w:t>.</w:t>
      </w:r>
    </w:p>
  </w:footnote>
  <w:footnote w:id="15">
    <w:p w14:paraId="405DF4C5" w14:textId="6E3F4D45" w:rsidR="001A1A35" w:rsidRPr="003302F6" w:rsidRDefault="001A1A35" w:rsidP="002B58C9">
      <w:pPr>
        <w:pStyle w:val="FootnoteText"/>
        <w:spacing w:after="0"/>
      </w:pPr>
      <w:r w:rsidRPr="003302F6">
        <w:rPr>
          <w:rStyle w:val="FootnoteReference"/>
        </w:rPr>
        <w:footnoteRef/>
      </w:r>
      <w:r w:rsidRPr="003302F6">
        <w:t xml:space="preserve"> </w:t>
      </w:r>
      <w:r w:rsidRPr="003302F6">
        <w:rPr>
          <w:i/>
        </w:rPr>
        <w:t xml:space="preserve">See </w:t>
      </w:r>
      <w:hyperlink r:id="rId14" w:history="1">
        <w:r w:rsidRPr="00B72EDC">
          <w:rPr>
            <w:rStyle w:val="Hyperlink"/>
          </w:rPr>
          <w:t>Youth Involved with the Juvenile Justice System</w:t>
        </w:r>
      </w:hyperlink>
      <w:r w:rsidRPr="003302F6">
        <w:t>, Youth.gov.</w:t>
      </w:r>
    </w:p>
  </w:footnote>
  <w:footnote w:id="16">
    <w:p w14:paraId="6F840859" w14:textId="0D844781" w:rsidR="001A1A35" w:rsidRPr="003302F6" w:rsidRDefault="001A1A35" w:rsidP="002B58C9">
      <w:pPr>
        <w:pStyle w:val="FootnoteText"/>
        <w:spacing w:after="0"/>
      </w:pPr>
      <w:r w:rsidRPr="003302F6">
        <w:rPr>
          <w:rStyle w:val="FootnoteReference"/>
        </w:rPr>
        <w:footnoteRef/>
      </w:r>
      <w:r w:rsidRPr="003302F6">
        <w:t xml:space="preserve"> Office of Juvenile Justice and Delinquency Prevention, Research Central: </w:t>
      </w:r>
      <w:hyperlink r:id="rId15" w:history="1">
        <w:r w:rsidRPr="00B72EDC">
          <w:rPr>
            <w:rStyle w:val="Hyperlink"/>
          </w:rPr>
          <w:t>Measuring What Works in Juvenile Reentry (2020)</w:t>
        </w:r>
      </w:hyperlink>
      <w:r w:rsidRPr="003302F6">
        <w:t>.</w:t>
      </w:r>
    </w:p>
  </w:footnote>
  <w:footnote w:id="17">
    <w:p w14:paraId="374135EB" w14:textId="26B7E805" w:rsidR="001A1A35" w:rsidRPr="003302F6" w:rsidRDefault="001A1A35" w:rsidP="002B58C9">
      <w:pPr>
        <w:pStyle w:val="FootnoteText"/>
        <w:spacing w:after="0"/>
      </w:pPr>
      <w:r w:rsidRPr="003302F6">
        <w:rPr>
          <w:rStyle w:val="FootnoteReference"/>
        </w:rPr>
        <w:footnoteRef/>
      </w:r>
      <w:r w:rsidRPr="003302F6">
        <w:t xml:space="preserve"> Elizabeth S. </w:t>
      </w:r>
      <w:r w:rsidRPr="003302F6">
        <w:t xml:space="preserve">Barnert, et al., </w:t>
      </w:r>
      <w:hyperlink r:id="rId16" w:history="1">
        <w:r w:rsidRPr="00B72EDC">
          <w:rPr>
            <w:rStyle w:val="Hyperlink"/>
            <w:i/>
          </w:rPr>
          <w:t>How Does Incarcerating Young People Affect Their Adult Outcomes?</w:t>
        </w:r>
      </w:hyperlink>
      <w:r w:rsidRPr="003302F6">
        <w:rPr>
          <w:smallCaps/>
        </w:rPr>
        <w:t xml:space="preserve">, </w:t>
      </w:r>
      <w:r w:rsidRPr="009965D5">
        <w:t>Official Journal of the American Academy of Pediatrics</w:t>
      </w:r>
      <w:r w:rsidRPr="003302F6">
        <w:t>, (Feb</w:t>
      </w:r>
      <w:r>
        <w:t>ruary</w:t>
      </w:r>
      <w:r w:rsidRPr="003302F6">
        <w:t xml:space="preserve"> 2017).</w:t>
      </w:r>
    </w:p>
  </w:footnote>
  <w:footnote w:id="18">
    <w:p w14:paraId="5BBE4E50" w14:textId="70F69EF7" w:rsidR="001A1A35" w:rsidRPr="003302F6" w:rsidRDefault="001A1A35" w:rsidP="002B58C9">
      <w:pPr>
        <w:pStyle w:val="FootnoteText"/>
        <w:spacing w:after="0"/>
        <w:rPr>
          <w:highlight w:val="yellow"/>
        </w:rPr>
      </w:pPr>
      <w:r w:rsidRPr="003302F6">
        <w:rPr>
          <w:rStyle w:val="FootnoteReference"/>
        </w:rPr>
        <w:footnoteRef/>
      </w:r>
      <w:r w:rsidRPr="003302F6">
        <w:t xml:space="preserve"> </w:t>
      </w:r>
      <w:hyperlink r:id="rId17" w:history="1">
        <w:r w:rsidRPr="00AA6976">
          <w:rPr>
            <w:rStyle w:val="Hyperlink"/>
          </w:rPr>
          <w:t>National Institute of Corrections, Kentucky 2020</w:t>
        </w:r>
      </w:hyperlink>
      <w:r>
        <w:t>.</w:t>
      </w:r>
      <w:r w:rsidRPr="003302F6">
        <w:t xml:space="preserve"> </w:t>
      </w:r>
    </w:p>
  </w:footnote>
  <w:footnote w:id="19">
    <w:p w14:paraId="2ECF3A04" w14:textId="77777777" w:rsidR="001A1A35" w:rsidRPr="003302F6" w:rsidRDefault="001A1A35" w:rsidP="002B58C9">
      <w:pPr>
        <w:pStyle w:val="FootnoteText"/>
        <w:spacing w:after="0"/>
        <w:rPr>
          <w:highlight w:val="yellow"/>
        </w:rPr>
      </w:pPr>
      <w:r w:rsidRPr="003302F6">
        <w:rPr>
          <w:rStyle w:val="FootnoteReference"/>
        </w:rPr>
        <w:footnoteRef/>
      </w:r>
      <w:r w:rsidRPr="003302F6">
        <w:t xml:space="preserve"> Id. </w:t>
      </w:r>
    </w:p>
  </w:footnote>
  <w:footnote w:id="20">
    <w:p w14:paraId="5EF174F5" w14:textId="784CDE95" w:rsidR="001A1A35" w:rsidRPr="00B72EDC" w:rsidRDefault="001A1A35" w:rsidP="002B58C9">
      <w:pPr>
        <w:pStyle w:val="FootnoteText"/>
        <w:spacing w:after="0"/>
        <w:rPr>
          <w:rStyle w:val="Hyperlink"/>
        </w:rPr>
      </w:pPr>
      <w:r w:rsidRPr="003302F6">
        <w:rPr>
          <w:rStyle w:val="FootnoteReference"/>
        </w:rPr>
        <w:footnoteRef/>
      </w:r>
      <w:r w:rsidRPr="003302F6">
        <w:t xml:space="preserve"> See National Research Council, </w:t>
      </w:r>
      <w:r>
        <w:fldChar w:fldCharType="begin"/>
      </w:r>
      <w:r>
        <w:instrText xml:space="preserve"> HYPERLINK "https://tinyurl.com/47be3z9h" </w:instrText>
      </w:r>
      <w:r>
        <w:fldChar w:fldCharType="separate"/>
      </w:r>
      <w:r w:rsidRPr="00B72EDC">
        <w:rPr>
          <w:rStyle w:val="Hyperlink"/>
        </w:rPr>
        <w:t xml:space="preserve">The Growth of Incarceration in the United States: Exploring Causes and </w:t>
      </w:r>
    </w:p>
    <w:p w14:paraId="7020BC1C" w14:textId="7EC98421" w:rsidR="001A1A35" w:rsidRPr="003302F6" w:rsidRDefault="001A1A35" w:rsidP="002B58C9">
      <w:pPr>
        <w:pStyle w:val="FootnoteText"/>
        <w:spacing w:after="0"/>
      </w:pPr>
      <w:r w:rsidRPr="00277441">
        <w:rPr>
          <w:rStyle w:val="Hyperlink"/>
        </w:rPr>
        <w:t>Consequences</w:t>
      </w:r>
      <w:r>
        <w:fldChar w:fldCharType="end"/>
      </w:r>
      <w:r w:rsidRPr="003302F6">
        <w:t>,</w:t>
      </w:r>
      <w:r w:rsidRPr="00380907">
        <w:t xml:space="preserve"> </w:t>
      </w:r>
      <w:r w:rsidRPr="009965D5">
        <w:t>The National Academies Press</w:t>
      </w:r>
      <w:r>
        <w:t>, page</w:t>
      </w:r>
      <w:r w:rsidRPr="003302F6">
        <w:rPr>
          <w:smallCaps/>
        </w:rPr>
        <w:t xml:space="preserve"> 38</w:t>
      </w:r>
      <w:r w:rsidRPr="003302F6">
        <w:t xml:space="preserve"> (2014).</w:t>
      </w:r>
    </w:p>
  </w:footnote>
  <w:footnote w:id="21">
    <w:p w14:paraId="32DD6799" w14:textId="3803E102" w:rsidR="001A1A35" w:rsidRPr="003302F6" w:rsidRDefault="001A1A35" w:rsidP="002B58C9">
      <w:pPr>
        <w:pStyle w:val="FootnoteText"/>
        <w:spacing w:after="0"/>
      </w:pPr>
      <w:r w:rsidRPr="003302F6">
        <w:rPr>
          <w:rStyle w:val="FootnoteReference"/>
        </w:rPr>
        <w:footnoteRef/>
      </w:r>
      <w:r w:rsidRPr="003302F6">
        <w:t xml:space="preserve"> Kentucky Dep</w:t>
      </w:r>
      <w:r>
        <w:t>ar</w:t>
      </w:r>
      <w:r w:rsidRPr="003302F6">
        <w:t>t</w:t>
      </w:r>
      <w:r>
        <w:t>ment</w:t>
      </w:r>
      <w:r w:rsidRPr="003302F6">
        <w:t xml:space="preserve"> of Juvenile Justice, </w:t>
      </w:r>
      <w:hyperlink r:id="rId18" w:history="1">
        <w:r w:rsidRPr="00B72EDC">
          <w:rPr>
            <w:rStyle w:val="Hyperlink"/>
          </w:rPr>
          <w:t>Fiscal Year 2020-2021 Annual Report</w:t>
        </w:r>
      </w:hyperlink>
      <w:r>
        <w:t>, page</w:t>
      </w:r>
      <w:r w:rsidRPr="003302F6">
        <w:t xml:space="preserve"> 10 (2021)</w:t>
      </w:r>
      <w:r>
        <w:t>.</w:t>
      </w:r>
    </w:p>
  </w:footnote>
  <w:footnote w:id="22">
    <w:p w14:paraId="72DC21EF" w14:textId="77777777" w:rsidR="001A1A35" w:rsidRPr="003302F6" w:rsidRDefault="001A1A35" w:rsidP="002B58C9">
      <w:pPr>
        <w:pStyle w:val="FootnoteText"/>
        <w:spacing w:after="0"/>
      </w:pPr>
      <w:r w:rsidRPr="003302F6">
        <w:rPr>
          <w:rStyle w:val="FootnoteReference"/>
        </w:rPr>
        <w:footnoteRef/>
      </w:r>
      <w:r w:rsidRPr="003302F6">
        <w:t xml:space="preserve"> Id.</w:t>
      </w:r>
    </w:p>
  </w:footnote>
  <w:footnote w:id="23">
    <w:p w14:paraId="020EC75D" w14:textId="07DBCC57" w:rsidR="001A1A35" w:rsidRPr="003302F6" w:rsidRDefault="001A1A35" w:rsidP="002B58C9">
      <w:pPr>
        <w:pStyle w:val="FootnoteText"/>
        <w:spacing w:after="0"/>
      </w:pPr>
      <w:r w:rsidRPr="003302F6">
        <w:rPr>
          <w:rStyle w:val="FootnoteReference"/>
        </w:rPr>
        <w:footnoteRef/>
      </w:r>
      <w:r w:rsidRPr="003302F6">
        <w:t xml:space="preserve"> </w:t>
      </w:r>
      <w:r w:rsidRPr="00F74AFA">
        <w:t xml:space="preserve">Substance Abuse and Mental Health Services Administration </w:t>
      </w:r>
      <w:r>
        <w:t>(</w:t>
      </w:r>
      <w:r w:rsidRPr="003302F6">
        <w:t>SAMHSA</w:t>
      </w:r>
      <w:r>
        <w:t>)</w:t>
      </w:r>
      <w:r w:rsidRPr="003302F6">
        <w:t xml:space="preserve">, </w:t>
      </w:r>
      <w:hyperlink r:id="rId19" w:history="1">
        <w:r w:rsidRPr="00B72EDC">
          <w:rPr>
            <w:rStyle w:val="Hyperlink"/>
          </w:rPr>
          <w:t xml:space="preserve">Best Practices for Successful Reentry </w:t>
        </w:r>
        <w:r w:rsidRPr="00B72EDC">
          <w:rPr>
            <w:rStyle w:val="Hyperlink"/>
          </w:rPr>
          <w:t>From Criminal Justice Settings for People Living with Mental Health Conditions and/or Substance Use Disorders</w:t>
        </w:r>
      </w:hyperlink>
      <w:r>
        <w:t>, page</w:t>
      </w:r>
      <w:r w:rsidRPr="003302F6">
        <w:t xml:space="preserve"> 4 (2023)</w:t>
      </w:r>
      <w:r>
        <w:t>.</w:t>
      </w:r>
    </w:p>
  </w:footnote>
  <w:footnote w:id="24">
    <w:p w14:paraId="0C02DFE1" w14:textId="163AEB71" w:rsidR="001A1A35" w:rsidRPr="003302F6" w:rsidRDefault="001A1A35" w:rsidP="002B58C9">
      <w:pPr>
        <w:pStyle w:val="FootnoteText"/>
        <w:spacing w:after="0"/>
      </w:pPr>
      <w:r w:rsidRPr="003302F6">
        <w:rPr>
          <w:rStyle w:val="FootnoteReference"/>
        </w:rPr>
        <w:footnoteRef/>
      </w:r>
      <w:r w:rsidRPr="003302F6">
        <w:t xml:space="preserve"> Office of Disease Prevention and Health Promotion, Incarceration – </w:t>
      </w:r>
      <w:hyperlink r:id="rId20" w:history="1">
        <w:r w:rsidRPr="00B72EDC">
          <w:rPr>
            <w:rStyle w:val="Hyperlink"/>
          </w:rPr>
          <w:t>Healthy People 2030</w:t>
        </w:r>
      </w:hyperlink>
      <w:r>
        <w:t>.</w:t>
      </w:r>
    </w:p>
  </w:footnote>
  <w:footnote w:id="25">
    <w:p w14:paraId="65536AD8" w14:textId="6D670C9D" w:rsidR="001A1A35" w:rsidRPr="003302F6" w:rsidRDefault="001A1A35" w:rsidP="002B58C9">
      <w:pPr>
        <w:pStyle w:val="FootnoteText"/>
        <w:spacing w:after="0"/>
      </w:pPr>
      <w:r w:rsidRPr="003302F6">
        <w:rPr>
          <w:rStyle w:val="FootnoteReference"/>
        </w:rPr>
        <w:footnoteRef/>
      </w:r>
      <w:r w:rsidRPr="003302F6">
        <w:t xml:space="preserve"> </w:t>
      </w:r>
      <w:r w:rsidRPr="003302F6">
        <w:rPr>
          <w:i/>
        </w:rPr>
        <w:t xml:space="preserve">See </w:t>
      </w:r>
      <w:r w:rsidRPr="003302F6">
        <w:t xml:space="preserve">Christopher </w:t>
      </w:r>
      <w:r w:rsidRPr="003302F6">
        <w:t xml:space="preserve">Wildeman, </w:t>
      </w:r>
      <w:hyperlink r:id="rId21" w:history="1">
        <w:r w:rsidRPr="00B72EDC">
          <w:rPr>
            <w:rStyle w:val="Hyperlink"/>
            <w:i/>
          </w:rPr>
          <w:t>Incarceration and Population Health in Wealthy Democracies</w:t>
        </w:r>
      </w:hyperlink>
      <w:r w:rsidRPr="003302F6">
        <w:t xml:space="preserve">, </w:t>
      </w:r>
      <w:r w:rsidRPr="009965D5">
        <w:t>Criminology</w:t>
      </w:r>
      <w:r>
        <w:t>, page</w:t>
      </w:r>
      <w:r w:rsidRPr="003302F6">
        <w:t xml:space="preserve"> 360 (May 2016)</w:t>
      </w:r>
      <w:r>
        <w:t>.</w:t>
      </w:r>
      <w:r w:rsidRPr="003302F6">
        <w:t xml:space="preserve"> </w:t>
      </w:r>
    </w:p>
  </w:footnote>
  <w:footnote w:id="26">
    <w:p w14:paraId="4C36C277" w14:textId="255BD694" w:rsidR="001A1A35" w:rsidRPr="003302F6" w:rsidRDefault="001A1A35" w:rsidP="002B58C9">
      <w:pPr>
        <w:pStyle w:val="FootnoteText"/>
        <w:spacing w:after="0"/>
      </w:pPr>
      <w:r w:rsidRPr="003302F6">
        <w:rPr>
          <w:rStyle w:val="FootnoteReference"/>
        </w:rPr>
        <w:footnoteRef/>
      </w:r>
      <w:r w:rsidRPr="003302F6">
        <w:t xml:space="preserve"> Ingrid A. </w:t>
      </w:r>
      <w:r w:rsidRPr="003302F6">
        <w:t xml:space="preserve">Bingswanger, et al., </w:t>
      </w:r>
      <w:hyperlink r:id="rId22" w:history="1">
        <w:r w:rsidRPr="00B72EDC">
          <w:rPr>
            <w:rStyle w:val="Hyperlink"/>
            <w:i/>
          </w:rPr>
          <w:t>Release from Prison – A High Risk Death for Former Inmates</w:t>
        </w:r>
      </w:hyperlink>
      <w:r w:rsidRPr="003302F6">
        <w:t xml:space="preserve">, </w:t>
      </w:r>
      <w:r w:rsidRPr="009965D5">
        <w:t>The New Eng</w:t>
      </w:r>
      <w:r>
        <w:t>land</w:t>
      </w:r>
      <w:r w:rsidRPr="009965D5">
        <w:t xml:space="preserve"> J</w:t>
      </w:r>
      <w:r>
        <w:t>ournal</w:t>
      </w:r>
      <w:r w:rsidRPr="009965D5">
        <w:t xml:space="preserve"> of Med</w:t>
      </w:r>
      <w:r>
        <w:t>icine</w:t>
      </w:r>
      <w:r w:rsidRPr="00380907">
        <w:t xml:space="preserve"> </w:t>
      </w:r>
      <w:r w:rsidRPr="003302F6">
        <w:t>(Jan</w:t>
      </w:r>
      <w:r>
        <w:t>uary</w:t>
      </w:r>
      <w:r w:rsidRPr="003302F6">
        <w:t xml:space="preserve"> 2007)</w:t>
      </w:r>
      <w:r>
        <w:t>.</w:t>
      </w:r>
    </w:p>
  </w:footnote>
  <w:footnote w:id="27">
    <w:p w14:paraId="6BCF3043" w14:textId="4F43A2D6" w:rsidR="001A1A35" w:rsidRPr="003302F6" w:rsidRDefault="001A1A35" w:rsidP="002B58C9">
      <w:pPr>
        <w:pStyle w:val="FootnoteText"/>
        <w:spacing w:after="0"/>
        <w:rPr>
          <w:highlight w:val="yellow"/>
        </w:rPr>
      </w:pPr>
      <w:r w:rsidRPr="003302F6">
        <w:rPr>
          <w:rStyle w:val="FootnoteReference"/>
        </w:rPr>
        <w:footnoteRef/>
      </w:r>
      <w:r w:rsidRPr="003302F6">
        <w:t xml:space="preserve"> U.S. Department of Justice Bureau of Justice Statistics, </w:t>
      </w:r>
      <w:hyperlink r:id="rId23" w:history="1">
        <w:r w:rsidRPr="00B72EDC">
          <w:rPr>
            <w:rStyle w:val="Hyperlink"/>
          </w:rPr>
          <w:t>Prisoners in 2021 – Statistical Tables</w:t>
        </w:r>
      </w:hyperlink>
      <w:r>
        <w:t>, page</w:t>
      </w:r>
      <w:r w:rsidRPr="003302F6">
        <w:t xml:space="preserve"> 21 (2022)</w:t>
      </w:r>
      <w:r>
        <w:t>.</w:t>
      </w:r>
    </w:p>
  </w:footnote>
  <w:footnote w:id="28">
    <w:p w14:paraId="067B5CCD" w14:textId="70CAD8FC" w:rsidR="001A1A35" w:rsidRPr="003302F6" w:rsidRDefault="001A1A35" w:rsidP="002B58C9">
      <w:pPr>
        <w:pStyle w:val="FootnoteText"/>
        <w:spacing w:after="0"/>
        <w:rPr>
          <w:highlight w:val="yellow"/>
        </w:rPr>
      </w:pPr>
      <w:r w:rsidRPr="003302F6">
        <w:rPr>
          <w:rStyle w:val="FootnoteReference"/>
        </w:rPr>
        <w:footnoteRef/>
      </w:r>
      <w:r w:rsidRPr="003302F6">
        <w:t xml:space="preserve"> Office of Disease Prevention and Health Promotion, Incarceration – </w:t>
      </w:r>
      <w:hyperlink r:id="rId24" w:history="1">
        <w:r w:rsidRPr="00B72EDC">
          <w:rPr>
            <w:rStyle w:val="Hyperlink"/>
          </w:rPr>
          <w:t>Healthy People 2030</w:t>
        </w:r>
      </w:hyperlink>
      <w:r>
        <w:t>.</w:t>
      </w:r>
      <w:r w:rsidRPr="003302F6" w:rsidDel="005218D7">
        <w:t xml:space="preserve"> </w:t>
      </w:r>
    </w:p>
  </w:footnote>
  <w:footnote w:id="29">
    <w:p w14:paraId="45A3CBA9" w14:textId="30F3354E" w:rsidR="001A1A35" w:rsidRPr="003302F6" w:rsidRDefault="001A1A35" w:rsidP="002B58C9">
      <w:pPr>
        <w:pStyle w:val="FootnoteText"/>
        <w:spacing w:after="0"/>
      </w:pPr>
      <w:r w:rsidRPr="003302F6">
        <w:rPr>
          <w:rStyle w:val="FootnoteReference"/>
        </w:rPr>
        <w:footnoteRef/>
      </w:r>
      <w:r w:rsidRPr="003302F6">
        <w:t xml:space="preserve"> </w:t>
      </w:r>
      <w:r w:rsidRPr="003302F6">
        <w:rPr>
          <w:i/>
        </w:rPr>
        <w:t xml:space="preserve">See </w:t>
      </w:r>
      <w:r w:rsidRPr="003302F6">
        <w:t xml:space="preserve">National Academies Press, </w:t>
      </w:r>
      <w:r w:rsidRPr="003302F6">
        <w:t xml:space="preserve">Health and Incarceration: </w:t>
      </w:r>
      <w:hyperlink r:id="rId25" w:history="1">
        <w:r w:rsidRPr="00B62D8B">
          <w:rPr>
            <w:rStyle w:val="Hyperlink"/>
          </w:rPr>
          <w:t>A Workshop Summary</w:t>
        </w:r>
      </w:hyperlink>
      <w:r w:rsidRPr="003302F6">
        <w:t xml:space="preserve"> (Aug</w:t>
      </w:r>
      <w:r>
        <w:t>ust</w:t>
      </w:r>
      <w:r w:rsidRPr="003302F6">
        <w:t xml:space="preserve"> 2013)</w:t>
      </w:r>
      <w:r>
        <w:t>.</w:t>
      </w:r>
    </w:p>
  </w:footnote>
  <w:footnote w:id="30">
    <w:p w14:paraId="37C8EC29" w14:textId="7D50D19E" w:rsidR="001A1A35" w:rsidRPr="003302F6" w:rsidRDefault="001A1A35" w:rsidP="002B58C9">
      <w:pPr>
        <w:pStyle w:val="FootnoteText"/>
        <w:spacing w:after="0"/>
      </w:pPr>
      <w:r w:rsidRPr="003302F6">
        <w:rPr>
          <w:rStyle w:val="FootnoteReference"/>
        </w:rPr>
        <w:footnoteRef/>
      </w:r>
      <w:r w:rsidRPr="003302F6">
        <w:t xml:space="preserve"> Julian D. Ford, </w:t>
      </w:r>
      <w:hyperlink r:id="rId26" w:history="1">
        <w:r w:rsidRPr="00B62D8B">
          <w:rPr>
            <w:rStyle w:val="Hyperlink"/>
            <w:i/>
          </w:rPr>
          <w:t>Trauma Among Youth in the Juvenile Justice System: Critical Issues and New Directions</w:t>
        </w:r>
      </w:hyperlink>
      <w:r w:rsidRPr="003302F6">
        <w:t xml:space="preserve">, </w:t>
      </w:r>
      <w:r w:rsidRPr="009965D5">
        <w:t xml:space="preserve">National Center </w:t>
      </w:r>
      <w:r w:rsidRPr="009965D5">
        <w:t>For Mental Health And Juvenile Justice</w:t>
      </w:r>
      <w:r>
        <w:t>, page</w:t>
      </w:r>
      <w:r w:rsidRPr="00380907">
        <w:t xml:space="preserve"> </w:t>
      </w:r>
      <w:r w:rsidRPr="003302F6">
        <w:t>1 (June 2007)</w:t>
      </w:r>
      <w:r>
        <w:t>.</w:t>
      </w:r>
    </w:p>
  </w:footnote>
  <w:footnote w:id="31">
    <w:p w14:paraId="3218AB99" w14:textId="208683E6" w:rsidR="001A1A35" w:rsidRPr="003302F6" w:rsidRDefault="001A1A35" w:rsidP="002B58C9">
      <w:pPr>
        <w:pStyle w:val="Default"/>
        <w:rPr>
          <w:sz w:val="20"/>
          <w:szCs w:val="20"/>
        </w:rPr>
      </w:pPr>
      <w:r w:rsidRPr="003302F6">
        <w:rPr>
          <w:rStyle w:val="FootnoteReference"/>
          <w:sz w:val="20"/>
          <w:szCs w:val="20"/>
        </w:rPr>
        <w:footnoteRef/>
      </w:r>
      <w:r w:rsidRPr="003302F6">
        <w:rPr>
          <w:sz w:val="20"/>
          <w:szCs w:val="20"/>
        </w:rPr>
        <w:t xml:space="preserve"> </w:t>
      </w:r>
      <w:r w:rsidRPr="003302F6">
        <w:rPr>
          <w:i/>
          <w:sz w:val="20"/>
          <w:szCs w:val="20"/>
        </w:rPr>
        <w:t xml:space="preserve">See </w:t>
      </w:r>
      <w:hyperlink r:id="rId27" w:history="1">
        <w:r w:rsidRPr="00B62D8B">
          <w:rPr>
            <w:rStyle w:val="Hyperlink"/>
            <w:sz w:val="20"/>
          </w:rPr>
          <w:t>Youth Involved with the Juvenile Justice System</w:t>
        </w:r>
      </w:hyperlink>
      <w:r w:rsidRPr="009965D5">
        <w:rPr>
          <w:sz w:val="20"/>
        </w:rPr>
        <w:t>, Youth.gov</w:t>
      </w:r>
      <w:r>
        <w:rPr>
          <w:sz w:val="20"/>
        </w:rPr>
        <w:t>.</w:t>
      </w:r>
    </w:p>
  </w:footnote>
  <w:footnote w:id="32">
    <w:p w14:paraId="777BEA17" w14:textId="637EDECD" w:rsidR="001A1A35" w:rsidRPr="003302F6" w:rsidRDefault="001A1A35" w:rsidP="002B58C9">
      <w:pPr>
        <w:pStyle w:val="FootnoteText"/>
        <w:spacing w:after="0"/>
      </w:pPr>
      <w:r w:rsidRPr="003302F6">
        <w:rPr>
          <w:rStyle w:val="FootnoteReference"/>
        </w:rPr>
        <w:footnoteRef/>
      </w:r>
      <w:r w:rsidRPr="003302F6">
        <w:t xml:space="preserve"> Elizabeth S. </w:t>
      </w:r>
      <w:r w:rsidRPr="003302F6">
        <w:t xml:space="preserve">Barnert, et al., </w:t>
      </w:r>
      <w:hyperlink r:id="rId28" w:history="1">
        <w:r w:rsidRPr="00B62D8B">
          <w:rPr>
            <w:rStyle w:val="Hyperlink"/>
            <w:i/>
          </w:rPr>
          <w:t>How Does Incarcerating Young People Affect Their Adult Outcomes?</w:t>
        </w:r>
      </w:hyperlink>
      <w:r w:rsidRPr="003302F6">
        <w:rPr>
          <w:smallCaps/>
        </w:rPr>
        <w:t xml:space="preserve">, </w:t>
      </w:r>
      <w:r w:rsidRPr="009965D5">
        <w:t>Official Journal of the American Academy of Pediatrics</w:t>
      </w:r>
      <w:r w:rsidRPr="003302F6">
        <w:t>, (Feb</w:t>
      </w:r>
      <w:r>
        <w:t>ruary</w:t>
      </w:r>
      <w:r w:rsidRPr="003302F6">
        <w:t xml:space="preserve"> 2017)</w:t>
      </w:r>
      <w:r>
        <w:t>.</w:t>
      </w:r>
    </w:p>
  </w:footnote>
  <w:footnote w:id="33">
    <w:p w14:paraId="67D06891" w14:textId="77777777" w:rsidR="001A1A35" w:rsidRPr="003302F6" w:rsidRDefault="001A1A35" w:rsidP="002B58C9">
      <w:pPr>
        <w:pStyle w:val="FootnoteText"/>
        <w:spacing w:after="0"/>
      </w:pPr>
      <w:r w:rsidRPr="003302F6">
        <w:rPr>
          <w:rStyle w:val="FootnoteReference"/>
        </w:rPr>
        <w:footnoteRef/>
      </w:r>
      <w:r w:rsidRPr="003302F6">
        <w:t xml:space="preserve"> Id.</w:t>
      </w:r>
    </w:p>
  </w:footnote>
  <w:footnote w:id="34">
    <w:p w14:paraId="41487863" w14:textId="77777777" w:rsidR="001A1A35" w:rsidRPr="003302F6" w:rsidRDefault="001A1A35" w:rsidP="002B58C9">
      <w:pPr>
        <w:pStyle w:val="FootnoteText"/>
        <w:spacing w:after="0"/>
      </w:pPr>
      <w:r w:rsidRPr="003302F6">
        <w:rPr>
          <w:rStyle w:val="FootnoteReference"/>
        </w:rPr>
        <w:footnoteRef/>
      </w:r>
      <w:r w:rsidRPr="003302F6">
        <w:t xml:space="preserve"> Id.</w:t>
      </w:r>
    </w:p>
  </w:footnote>
  <w:footnote w:id="35">
    <w:p w14:paraId="143F5585" w14:textId="15364CEB" w:rsidR="001A1A35" w:rsidRPr="003302F6" w:rsidRDefault="001A1A35" w:rsidP="002B58C9">
      <w:pPr>
        <w:pStyle w:val="FootnoteText"/>
        <w:spacing w:after="0"/>
      </w:pPr>
      <w:r w:rsidRPr="003302F6">
        <w:rPr>
          <w:rStyle w:val="FootnoteReference"/>
        </w:rPr>
        <w:footnoteRef/>
      </w:r>
      <w:r w:rsidRPr="003302F6">
        <w:t xml:space="preserve"> Nat</w:t>
      </w:r>
      <w:r>
        <w:t>iona</w:t>
      </w:r>
      <w:r w:rsidRPr="003302F6">
        <w:t xml:space="preserve">l Alliance on Mental Illness, </w:t>
      </w:r>
      <w:hyperlink r:id="rId29" w:history="1">
        <w:r w:rsidRPr="00B62D8B">
          <w:rPr>
            <w:rStyle w:val="Hyperlink"/>
          </w:rPr>
          <w:t>Mental Health in Kentucky</w:t>
        </w:r>
      </w:hyperlink>
      <w:r w:rsidRPr="003302F6">
        <w:t xml:space="preserve"> (2021)</w:t>
      </w:r>
      <w:r>
        <w:t>.</w:t>
      </w:r>
    </w:p>
  </w:footnote>
  <w:footnote w:id="36">
    <w:p w14:paraId="5CC083D7" w14:textId="77777777" w:rsidR="001A1A35" w:rsidRPr="003302F6" w:rsidRDefault="001A1A35" w:rsidP="002B58C9">
      <w:pPr>
        <w:pStyle w:val="FootnoteText"/>
        <w:spacing w:after="0"/>
      </w:pPr>
      <w:r w:rsidRPr="003302F6">
        <w:rPr>
          <w:rStyle w:val="FootnoteReference"/>
        </w:rPr>
        <w:footnoteRef/>
      </w:r>
      <w:r w:rsidRPr="003302F6">
        <w:t xml:space="preserve"> Id. </w:t>
      </w:r>
    </w:p>
  </w:footnote>
  <w:footnote w:id="37">
    <w:p w14:paraId="608EB59B" w14:textId="5F31A32B" w:rsidR="001A1A35" w:rsidRDefault="001A1A35" w:rsidP="002B58C9">
      <w:pPr>
        <w:pStyle w:val="FootnoteText"/>
        <w:spacing w:after="0"/>
      </w:pPr>
      <w:r>
        <w:rPr>
          <w:rStyle w:val="FootnoteReference"/>
        </w:rPr>
        <w:footnoteRef/>
      </w:r>
      <w:r>
        <w:t xml:space="preserve"> </w:t>
      </w:r>
      <w:r w:rsidRPr="009965D5">
        <w:t>U.S. Department of Justice Bureau of Justice Statistics</w:t>
      </w:r>
      <w:r w:rsidRPr="002B1035">
        <w:t xml:space="preserve">, </w:t>
      </w:r>
      <w:hyperlink r:id="rId30" w:history="1">
        <w:r w:rsidRPr="00B62D8B">
          <w:rPr>
            <w:rStyle w:val="Hyperlink"/>
            <w:i/>
          </w:rPr>
          <w:t>Mortality in State and Federal Prisons 2001-2019 – Statistical Tables</w:t>
        </w:r>
      </w:hyperlink>
      <w:r w:rsidRPr="002B1035">
        <w:t>,</w:t>
      </w:r>
      <w:r w:rsidRPr="002B1035">
        <w:rPr>
          <w:i/>
        </w:rPr>
        <w:t xml:space="preserve"> </w:t>
      </w:r>
      <w:r w:rsidRPr="009965D5">
        <w:t>page</w:t>
      </w:r>
      <w:r>
        <w:rPr>
          <w:i/>
        </w:rPr>
        <w:t xml:space="preserve"> </w:t>
      </w:r>
      <w:r w:rsidRPr="002B1035">
        <w:t>26 (Dec</w:t>
      </w:r>
      <w:r>
        <w:t>ember</w:t>
      </w:r>
      <w:r w:rsidRPr="002B1035">
        <w:t xml:space="preserve"> 2021)</w:t>
      </w:r>
      <w:r>
        <w:t>.</w:t>
      </w:r>
      <w:r w:rsidRPr="002B1035">
        <w:t xml:space="preserve"> </w:t>
      </w:r>
    </w:p>
  </w:footnote>
  <w:footnote w:id="38">
    <w:p w14:paraId="5DD9E7BA" w14:textId="0E4D939F" w:rsidR="001A1A35" w:rsidRDefault="001A1A35" w:rsidP="002B58C9">
      <w:pPr>
        <w:pStyle w:val="FootnoteText"/>
        <w:spacing w:after="0"/>
      </w:pPr>
      <w:r>
        <w:rPr>
          <w:rStyle w:val="FootnoteReference"/>
        </w:rPr>
        <w:footnoteRef/>
      </w:r>
      <w:r>
        <w:t xml:space="preserve"> </w:t>
      </w:r>
      <w:r w:rsidRPr="009965D5">
        <w:t>U.S. Dep</w:t>
      </w:r>
      <w:r>
        <w:t>ar</w:t>
      </w:r>
      <w:r w:rsidRPr="009965D5">
        <w:t>t</w:t>
      </w:r>
      <w:r>
        <w:t>ment</w:t>
      </w:r>
      <w:r w:rsidRPr="009965D5">
        <w:t xml:space="preserve"> of Justice Bureau of Justice Statistics</w:t>
      </w:r>
      <w:r w:rsidRPr="002B1035">
        <w:t xml:space="preserve">, </w:t>
      </w:r>
      <w:hyperlink r:id="rId31" w:history="1">
        <w:r w:rsidRPr="00B62D8B">
          <w:rPr>
            <w:rStyle w:val="Hyperlink"/>
            <w:i/>
          </w:rPr>
          <w:t>Impact of COVID-19 on State and Federal Prisons, March 2020-February 2021</w:t>
        </w:r>
      </w:hyperlink>
      <w:r w:rsidRPr="002B1035">
        <w:t xml:space="preserve">, </w:t>
      </w:r>
      <w:r>
        <w:t xml:space="preserve">page </w:t>
      </w:r>
      <w:r w:rsidRPr="002B1035">
        <w:t xml:space="preserve">12, </w:t>
      </w:r>
      <w:r>
        <w:t xml:space="preserve">page </w:t>
      </w:r>
      <w:r w:rsidRPr="002B1035">
        <w:t>20 (Dec</w:t>
      </w:r>
      <w:r>
        <w:t>ember</w:t>
      </w:r>
      <w:r w:rsidRPr="002B1035">
        <w:t xml:space="preserve"> 20, 2022).</w:t>
      </w:r>
    </w:p>
  </w:footnote>
  <w:footnote w:id="39">
    <w:p w14:paraId="0B9BC468" w14:textId="1307D27D" w:rsidR="001A1A35" w:rsidRPr="003302F6" w:rsidRDefault="001A1A35" w:rsidP="002B58C9">
      <w:pPr>
        <w:pStyle w:val="FootnoteText"/>
        <w:spacing w:after="0"/>
      </w:pPr>
      <w:r w:rsidRPr="003302F6">
        <w:rPr>
          <w:rStyle w:val="FootnoteReference"/>
        </w:rPr>
        <w:footnoteRef/>
      </w:r>
      <w:r w:rsidRPr="003302F6">
        <w:t xml:space="preserve"> SAMHSA, Table 5.1A </w:t>
      </w:r>
      <w:hyperlink r:id="rId32" w:history="1">
        <w:r w:rsidRPr="00735623">
          <w:rPr>
            <w:rStyle w:val="Hyperlink"/>
          </w:rPr>
          <w:t>Substance Use Disorder for Specific Substances in Past Year: Among People Aged 12 or Older</w:t>
        </w:r>
      </w:hyperlink>
      <w:r>
        <w:t>.</w:t>
      </w:r>
      <w:r w:rsidRPr="003302F6">
        <w:t xml:space="preserve"> SAMHSA, Key Substance Use and Mental Health Indicators in the United States: </w:t>
      </w:r>
      <w:hyperlink r:id="rId33" w:history="1">
        <w:r w:rsidRPr="00735623">
          <w:rPr>
            <w:rStyle w:val="Hyperlink"/>
          </w:rPr>
          <w:t>Results from the 2021 National Survey on Drug Use and Health</w:t>
        </w:r>
      </w:hyperlink>
      <w:r w:rsidRPr="003302F6">
        <w:t>.</w:t>
      </w:r>
    </w:p>
  </w:footnote>
  <w:footnote w:id="40">
    <w:p w14:paraId="71CA8A97" w14:textId="2E22B657" w:rsidR="001A1A35" w:rsidRPr="003302F6" w:rsidRDefault="001A1A35" w:rsidP="00C2571A">
      <w:pPr>
        <w:pStyle w:val="FootnoteText"/>
        <w:spacing w:after="0"/>
      </w:pPr>
      <w:r w:rsidRPr="003302F6">
        <w:rPr>
          <w:rStyle w:val="FootnoteReference"/>
        </w:rPr>
        <w:footnoteRef/>
      </w:r>
      <w:r w:rsidRPr="003302F6">
        <w:t xml:space="preserve"> SAMHSA, </w:t>
      </w:r>
      <w:r>
        <w:t xml:space="preserve">Table 45A Substance Use, Perceptions of Great Risk, and Mental Health Measures: </w:t>
      </w:r>
      <w:hyperlink r:id="rId34" w:history="1">
        <w:r w:rsidRPr="00735623">
          <w:rPr>
            <w:rStyle w:val="Hyperlink"/>
          </w:rPr>
          <w:t>Among People Aged 12 or Older in Kentucky; by Age Group, Estimated Numbers (in Thousands)</w:t>
        </w:r>
      </w:hyperlink>
      <w:r>
        <w:t>, 2021</w:t>
      </w:r>
      <w:r w:rsidRPr="003302F6">
        <w:t>.</w:t>
      </w:r>
    </w:p>
  </w:footnote>
  <w:footnote w:id="41">
    <w:p w14:paraId="0233C7A2" w14:textId="04B9F28A" w:rsidR="001A1A35" w:rsidRPr="003302F6" w:rsidRDefault="001A1A35" w:rsidP="002B58C9">
      <w:pPr>
        <w:pStyle w:val="FootnoteText"/>
        <w:spacing w:after="0"/>
      </w:pPr>
      <w:r w:rsidRPr="003302F6">
        <w:rPr>
          <w:rStyle w:val="FootnoteReference"/>
        </w:rPr>
        <w:footnoteRef/>
      </w:r>
      <w:r w:rsidRPr="003302F6">
        <w:t xml:space="preserve"> CDC, </w:t>
      </w:r>
      <w:hyperlink r:id="rId35" w:history="1">
        <w:r w:rsidRPr="00735623">
          <w:rPr>
            <w:rStyle w:val="Hyperlink"/>
          </w:rPr>
          <w:t xml:space="preserve">Understanding the Opioid Overdose Epidemic </w:t>
        </w:r>
      </w:hyperlink>
      <w:r w:rsidRPr="003302F6">
        <w:t>(2023)</w:t>
      </w:r>
      <w:r>
        <w:t>.</w:t>
      </w:r>
    </w:p>
  </w:footnote>
  <w:footnote w:id="42">
    <w:p w14:paraId="177E403C" w14:textId="6C9A3DD2" w:rsidR="001A1A35" w:rsidRPr="003302F6" w:rsidRDefault="001A1A35" w:rsidP="002B58C9">
      <w:pPr>
        <w:pStyle w:val="FootnoteText"/>
        <w:spacing w:after="0"/>
      </w:pPr>
      <w:r w:rsidRPr="003302F6">
        <w:rPr>
          <w:rStyle w:val="FootnoteReference"/>
        </w:rPr>
        <w:footnoteRef/>
      </w:r>
      <w:r w:rsidRPr="003302F6">
        <w:t xml:space="preserve"> Nat</w:t>
      </w:r>
      <w:r>
        <w:t>iona</w:t>
      </w:r>
      <w:r w:rsidRPr="003302F6">
        <w:t>l Inst</w:t>
      </w:r>
      <w:r>
        <w:t>itute</w:t>
      </w:r>
      <w:r w:rsidRPr="003302F6">
        <w:t xml:space="preserve"> of Health, </w:t>
      </w:r>
      <w:hyperlink r:id="rId36" w:history="1">
        <w:r w:rsidRPr="00735623">
          <w:rPr>
            <w:rStyle w:val="Hyperlink"/>
          </w:rPr>
          <w:t>Only 1 in 5 U.S. adults with OUD received medications to treat it in 2021</w:t>
        </w:r>
      </w:hyperlink>
      <w:r w:rsidRPr="003302F6">
        <w:t xml:space="preserve"> (2023).</w:t>
      </w:r>
    </w:p>
  </w:footnote>
  <w:footnote w:id="43">
    <w:p w14:paraId="617301FB" w14:textId="3793FAA0" w:rsidR="001A1A35" w:rsidRPr="003302F6" w:rsidRDefault="001A1A35" w:rsidP="002B58C9">
      <w:pPr>
        <w:pStyle w:val="FootnoteText"/>
        <w:spacing w:after="0"/>
      </w:pPr>
      <w:r w:rsidRPr="003302F6">
        <w:rPr>
          <w:rStyle w:val="FootnoteReference"/>
        </w:rPr>
        <w:footnoteRef/>
      </w:r>
      <w:r w:rsidRPr="003302F6">
        <w:t xml:space="preserve"> CDC, </w:t>
      </w:r>
      <w:hyperlink r:id="rId37" w:history="1">
        <w:r w:rsidRPr="00735623">
          <w:rPr>
            <w:rStyle w:val="Hyperlink"/>
          </w:rPr>
          <w:t>Drug Overdose Deaths</w:t>
        </w:r>
      </w:hyperlink>
      <w:r w:rsidRPr="003302F6">
        <w:t xml:space="preserve"> (2023); CDC, </w:t>
      </w:r>
      <w:hyperlink r:id="rId38" w:history="1">
        <w:r w:rsidRPr="00735623">
          <w:rPr>
            <w:rStyle w:val="Hyperlink"/>
          </w:rPr>
          <w:t>Understanding the Opioid Overdose Epidemic</w:t>
        </w:r>
      </w:hyperlink>
      <w:r w:rsidRPr="003302F6">
        <w:t xml:space="preserve"> (2023)</w:t>
      </w:r>
      <w:r>
        <w:t>.</w:t>
      </w:r>
    </w:p>
  </w:footnote>
  <w:footnote w:id="44">
    <w:p w14:paraId="141FF645" w14:textId="592CB4D0" w:rsidR="001A1A35" w:rsidRPr="003302F6" w:rsidRDefault="001A1A35" w:rsidP="002B58C9">
      <w:pPr>
        <w:pStyle w:val="FootnoteText"/>
        <w:spacing w:after="0"/>
      </w:pPr>
      <w:r w:rsidRPr="003302F6">
        <w:rPr>
          <w:rStyle w:val="FootnoteReference"/>
        </w:rPr>
        <w:footnoteRef/>
      </w:r>
      <w:r w:rsidRPr="003302F6">
        <w:t xml:space="preserve"> Nat</w:t>
      </w:r>
      <w:r>
        <w:t>iona</w:t>
      </w:r>
      <w:r w:rsidRPr="003302F6">
        <w:t>l Inst</w:t>
      </w:r>
      <w:r>
        <w:t>itute</w:t>
      </w:r>
      <w:r w:rsidRPr="003302F6">
        <w:t xml:space="preserve"> on Drug Abuse, </w:t>
      </w:r>
      <w:hyperlink r:id="rId39" w:history="1">
        <w:r w:rsidRPr="00735623">
          <w:rPr>
            <w:rStyle w:val="Hyperlink"/>
          </w:rPr>
          <w:t>Drug Overdose Death Rates</w:t>
        </w:r>
      </w:hyperlink>
      <w:r w:rsidRPr="003302F6">
        <w:t xml:space="preserve"> (2023); CDC, </w:t>
      </w:r>
      <w:hyperlink r:id="rId40" w:history="1">
        <w:r w:rsidRPr="00735623">
          <w:rPr>
            <w:rStyle w:val="Hyperlink"/>
          </w:rPr>
          <w:t>Opioid Data Analysis and Resources</w:t>
        </w:r>
      </w:hyperlink>
      <w:r w:rsidRPr="003302F6">
        <w:t xml:space="preserve"> (2023)</w:t>
      </w:r>
      <w:r>
        <w:t>.</w:t>
      </w:r>
    </w:p>
  </w:footnote>
  <w:footnote w:id="45">
    <w:p w14:paraId="293760C0" w14:textId="232177F1" w:rsidR="001A1A35" w:rsidRPr="003302F6" w:rsidRDefault="001A1A35" w:rsidP="002B58C9">
      <w:pPr>
        <w:pStyle w:val="FootnoteText"/>
        <w:spacing w:after="0"/>
      </w:pPr>
      <w:r w:rsidRPr="003302F6">
        <w:rPr>
          <w:rStyle w:val="FootnoteReference"/>
        </w:rPr>
        <w:footnoteRef/>
      </w:r>
      <w:r w:rsidRPr="003302F6">
        <w:t xml:space="preserve"> CDC, </w:t>
      </w:r>
      <w:hyperlink r:id="rId41" w:history="1">
        <w:r w:rsidRPr="00735623">
          <w:rPr>
            <w:rStyle w:val="Hyperlink"/>
            <w:smallCaps/>
          </w:rPr>
          <w:t xml:space="preserve">U.S. </w:t>
        </w:r>
        <w:r w:rsidRPr="00735623">
          <w:rPr>
            <w:rStyle w:val="Hyperlink"/>
          </w:rPr>
          <w:t>State Opioid Dispensing Rates</w:t>
        </w:r>
      </w:hyperlink>
      <w:r w:rsidRPr="003302F6">
        <w:t xml:space="preserve"> (2019).</w:t>
      </w:r>
    </w:p>
  </w:footnote>
  <w:footnote w:id="46">
    <w:p w14:paraId="4C877B9E" w14:textId="56030D00" w:rsidR="001A1A35" w:rsidRPr="003302F6" w:rsidRDefault="001A1A35" w:rsidP="002B58C9">
      <w:pPr>
        <w:pStyle w:val="FootnoteText"/>
        <w:spacing w:after="0"/>
      </w:pPr>
      <w:r w:rsidRPr="003302F6">
        <w:rPr>
          <w:rStyle w:val="FootnoteReference"/>
        </w:rPr>
        <w:footnoteRef/>
      </w:r>
      <w:r w:rsidRPr="003302F6">
        <w:t xml:space="preserve"> SAMHSA, </w:t>
      </w:r>
      <w:r>
        <w:t xml:space="preserve">Table 45A </w:t>
      </w:r>
      <w:hyperlink r:id="rId42" w:history="1">
        <w:r w:rsidRPr="001F1141">
          <w:rPr>
            <w:rStyle w:val="Hyperlink"/>
          </w:rPr>
          <w:t>Substance Use, Perceptions of Great Risk, and Mental Health Measures: Among People Aged 12 or Older in Kentucky; by Age Group, Estimated Numbers (in Thousands)</w:t>
        </w:r>
      </w:hyperlink>
      <w:r>
        <w:t>, 2021</w:t>
      </w:r>
      <w:r w:rsidRPr="003302F6">
        <w:t xml:space="preserve">. </w:t>
      </w:r>
    </w:p>
  </w:footnote>
  <w:footnote w:id="47">
    <w:p w14:paraId="049E3C63" w14:textId="4E169888" w:rsidR="001A1A35" w:rsidRPr="003302F6" w:rsidRDefault="001A1A35" w:rsidP="002B58C9">
      <w:pPr>
        <w:pStyle w:val="FootnoteText"/>
        <w:spacing w:after="0"/>
        <w:rPr>
          <w:highlight w:val="yellow"/>
        </w:rPr>
      </w:pPr>
      <w:r w:rsidRPr="003302F6">
        <w:rPr>
          <w:rStyle w:val="FootnoteReference"/>
        </w:rPr>
        <w:footnoteRef/>
      </w:r>
      <w:r w:rsidRPr="003302F6">
        <w:t xml:space="preserve"> CDC, </w:t>
      </w:r>
      <w:hyperlink r:id="rId43" w:history="1">
        <w:r w:rsidRPr="001F1141">
          <w:rPr>
            <w:rStyle w:val="Hyperlink"/>
          </w:rPr>
          <w:t xml:space="preserve">Drug Overdose Mortality by State </w:t>
        </w:r>
      </w:hyperlink>
      <w:r w:rsidRPr="003302F6">
        <w:t>(2021)</w:t>
      </w:r>
      <w:r>
        <w:t>.</w:t>
      </w:r>
    </w:p>
  </w:footnote>
  <w:footnote w:id="48">
    <w:p w14:paraId="457F493A" w14:textId="53E689F3" w:rsidR="001A1A35" w:rsidRPr="003302F6" w:rsidRDefault="001A1A35" w:rsidP="002B58C9">
      <w:pPr>
        <w:pStyle w:val="FootnoteText"/>
        <w:spacing w:after="0"/>
      </w:pPr>
      <w:r w:rsidRPr="003302F6">
        <w:rPr>
          <w:rStyle w:val="FootnoteReference"/>
        </w:rPr>
        <w:footnoteRef/>
      </w:r>
      <w:r w:rsidRPr="003302F6">
        <w:t xml:space="preserve"> Patricia R. Freeman et al., Drugs involved in Kentucky drug poisoning deaths and relation with antecedent controlled substance prescription dispensing, </w:t>
      </w:r>
      <w:hyperlink r:id="rId44" w:history="1">
        <w:r w:rsidRPr="001F1141">
          <w:rPr>
            <w:rStyle w:val="Hyperlink"/>
          </w:rPr>
          <w:t>Substance Abuse Treatment, Prevention, and Policy</w:t>
        </w:r>
      </w:hyperlink>
      <w:r>
        <w:t>, page</w:t>
      </w:r>
      <w:r w:rsidRPr="003302F6">
        <w:rPr>
          <w:color w:val="333333"/>
          <w:shd w:val="clear" w:color="auto" w:fill="FFFFFF"/>
        </w:rPr>
        <w:t> </w:t>
      </w:r>
      <w:r w:rsidRPr="003302F6">
        <w:rPr>
          <w:bCs/>
          <w:color w:val="333333"/>
          <w:shd w:val="clear" w:color="auto" w:fill="FFFFFF"/>
        </w:rPr>
        <w:t>18</w:t>
      </w:r>
      <w:r w:rsidRPr="003302F6">
        <w:rPr>
          <w:color w:val="333333"/>
          <w:shd w:val="clear" w:color="auto" w:fill="FFFFFF"/>
        </w:rPr>
        <w:t xml:space="preserve">, </w:t>
      </w:r>
      <w:r>
        <w:rPr>
          <w:color w:val="333333"/>
          <w:shd w:val="clear" w:color="auto" w:fill="FFFFFF"/>
        </w:rPr>
        <w:t xml:space="preserve">page </w:t>
      </w:r>
      <w:r w:rsidRPr="003302F6">
        <w:rPr>
          <w:color w:val="333333"/>
          <w:shd w:val="clear" w:color="auto" w:fill="FFFFFF"/>
        </w:rPr>
        <w:t>53 (2023)</w:t>
      </w:r>
      <w:r>
        <w:rPr>
          <w:color w:val="333333"/>
          <w:shd w:val="clear" w:color="auto" w:fill="FFFFFF"/>
        </w:rPr>
        <w:t>.</w:t>
      </w:r>
    </w:p>
  </w:footnote>
  <w:footnote w:id="49">
    <w:p w14:paraId="3F2916CE" w14:textId="4E47025F" w:rsidR="001A1A35" w:rsidRPr="003302F6" w:rsidRDefault="001A1A35" w:rsidP="002B58C9">
      <w:pPr>
        <w:pStyle w:val="FootnoteText"/>
        <w:spacing w:after="0"/>
      </w:pPr>
      <w:r w:rsidRPr="003302F6">
        <w:rPr>
          <w:rStyle w:val="FootnoteReference"/>
        </w:rPr>
        <w:footnoteRef/>
      </w:r>
      <w:r w:rsidRPr="003302F6">
        <w:t xml:space="preserve"> SAMHSA, </w:t>
      </w:r>
      <w:hyperlink r:id="rId45" w:history="1">
        <w:r w:rsidRPr="001F1141">
          <w:rPr>
            <w:rStyle w:val="Hyperlink"/>
          </w:rPr>
          <w:t>Screening and Treatment of Substance Use Disorders Among Adolescents</w:t>
        </w:r>
      </w:hyperlink>
      <w:r w:rsidRPr="003302F6">
        <w:t xml:space="preserve"> (2021)</w:t>
      </w:r>
      <w:r>
        <w:t>.</w:t>
      </w:r>
    </w:p>
  </w:footnote>
  <w:footnote w:id="50">
    <w:p w14:paraId="265CA36C" w14:textId="1532E136" w:rsidR="001A1A35" w:rsidRPr="003302F6" w:rsidRDefault="001A1A35" w:rsidP="002B58C9">
      <w:pPr>
        <w:pStyle w:val="FootnoteText"/>
        <w:spacing w:after="0"/>
      </w:pPr>
      <w:r w:rsidRPr="003302F6">
        <w:rPr>
          <w:rStyle w:val="FootnoteReference"/>
        </w:rPr>
        <w:footnoteRef/>
      </w:r>
      <w:r w:rsidRPr="003302F6">
        <w:t xml:space="preserve"> Office of Juvenile Justice and Delinquency Prevention, </w:t>
      </w:r>
      <w:hyperlink r:id="rId46" w:history="1">
        <w:r w:rsidRPr="001F1141">
          <w:rPr>
            <w:rStyle w:val="Hyperlink"/>
          </w:rPr>
          <w:t>Consequences of Youth Substance Abuse</w:t>
        </w:r>
      </w:hyperlink>
      <w:r w:rsidRPr="003302F6">
        <w:t>.</w:t>
      </w:r>
    </w:p>
  </w:footnote>
  <w:footnote w:id="51">
    <w:p w14:paraId="4AF61DC2" w14:textId="5BF6A144" w:rsidR="001A1A35" w:rsidRPr="003302F6" w:rsidRDefault="001A1A35" w:rsidP="002B58C9">
      <w:pPr>
        <w:pStyle w:val="FootnoteText"/>
        <w:spacing w:after="0"/>
      </w:pPr>
      <w:r w:rsidRPr="003302F6">
        <w:rPr>
          <w:rStyle w:val="FootnoteReference"/>
        </w:rPr>
        <w:footnoteRef/>
      </w:r>
      <w:r w:rsidRPr="003302F6">
        <w:t xml:space="preserve"> SAMHSA, </w:t>
      </w:r>
      <w:hyperlink r:id="rId47" w:history="1">
        <w:r w:rsidRPr="001F1141">
          <w:rPr>
            <w:rStyle w:val="Hyperlink"/>
          </w:rPr>
          <w:t xml:space="preserve">Screening and Treatment of Substance Use Disorders Among Adolescents </w:t>
        </w:r>
      </w:hyperlink>
      <w:r w:rsidRPr="003302F6">
        <w:t>(2021)</w:t>
      </w:r>
      <w:r>
        <w:t>.</w:t>
      </w:r>
    </w:p>
  </w:footnote>
  <w:footnote w:id="52">
    <w:p w14:paraId="5EE065CE" w14:textId="1F95A6F0" w:rsidR="001A1A35" w:rsidRPr="003302F6" w:rsidRDefault="001A1A35" w:rsidP="002B58C9">
      <w:pPr>
        <w:pStyle w:val="FootnoteText"/>
        <w:spacing w:after="0"/>
      </w:pPr>
      <w:r w:rsidRPr="003302F6">
        <w:rPr>
          <w:rStyle w:val="FootnoteReference"/>
        </w:rPr>
        <w:footnoteRef/>
      </w:r>
      <w:r w:rsidRPr="003302F6">
        <w:t xml:space="preserve"> Nat</w:t>
      </w:r>
      <w:r>
        <w:t>iona</w:t>
      </w:r>
      <w:r w:rsidRPr="003302F6">
        <w:t>l Library of Med</w:t>
      </w:r>
      <w:r>
        <w:t>icine</w:t>
      </w:r>
      <w:r w:rsidRPr="003302F6">
        <w:t xml:space="preserve">, </w:t>
      </w:r>
      <w:hyperlink r:id="rId48" w:history="1">
        <w:r w:rsidRPr="001F1141">
          <w:rPr>
            <w:rStyle w:val="Hyperlink"/>
          </w:rPr>
          <w:t>DSM-5 Diagnostic Criteria for Diagnosing and Classifying Substance Use Disorders</w:t>
        </w:r>
      </w:hyperlink>
      <w:r>
        <w:t>.</w:t>
      </w:r>
    </w:p>
  </w:footnote>
  <w:footnote w:id="53">
    <w:p w14:paraId="61AE70DE" w14:textId="4B321AFB" w:rsidR="001A1A35" w:rsidRPr="003302F6" w:rsidRDefault="001A1A35" w:rsidP="002B58C9">
      <w:pPr>
        <w:pStyle w:val="FootnoteText"/>
        <w:spacing w:after="0"/>
      </w:pPr>
      <w:r w:rsidRPr="003302F6">
        <w:rPr>
          <w:rStyle w:val="FootnoteReference"/>
        </w:rPr>
        <w:footnoteRef/>
      </w:r>
      <w:r w:rsidRPr="003302F6">
        <w:t xml:space="preserve"> SAMHSA, </w:t>
      </w:r>
      <w:hyperlink r:id="rId49" w:history="1">
        <w:r w:rsidRPr="001F1141">
          <w:rPr>
            <w:rStyle w:val="Hyperlink"/>
          </w:rPr>
          <w:t>Use of Medication-Assisted Treatment for Opioid Use Disorder in Criminal Justice Settings</w:t>
        </w:r>
      </w:hyperlink>
      <w:r>
        <w:t>, page</w:t>
      </w:r>
      <w:r w:rsidRPr="003302F6">
        <w:t xml:space="preserve"> 8 (2019).</w:t>
      </w:r>
    </w:p>
  </w:footnote>
  <w:footnote w:id="54">
    <w:p w14:paraId="7C2CD71A" w14:textId="5C41E832" w:rsidR="001A1A35" w:rsidRDefault="001A1A35">
      <w:pPr>
        <w:pStyle w:val="FootnoteText"/>
      </w:pPr>
      <w:r>
        <w:rPr>
          <w:rStyle w:val="FootnoteReference"/>
        </w:rPr>
        <w:footnoteRef/>
      </w:r>
      <w:r>
        <w:t xml:space="preserve"> </w:t>
      </w:r>
      <w:r w:rsidRPr="00E72176">
        <w:t>Martha T</w:t>
      </w:r>
      <w:r>
        <w:t>i</w:t>
      </w:r>
      <w:r w:rsidRPr="00E72176">
        <w:t xml:space="preserve">llson, et al., </w:t>
      </w:r>
      <w:hyperlink r:id="rId50" w:history="1">
        <w:r w:rsidRPr="001F1141">
          <w:rPr>
            <w:rStyle w:val="Hyperlink"/>
          </w:rPr>
          <w:t>Criminal Justice Kentucky Treatment Outcome Study</w:t>
        </w:r>
      </w:hyperlink>
      <w:r w:rsidRPr="00E72176">
        <w:t xml:space="preserve"> (2022)</w:t>
      </w:r>
      <w:r>
        <w:t xml:space="preserve">. </w:t>
      </w:r>
    </w:p>
  </w:footnote>
  <w:footnote w:id="55">
    <w:p w14:paraId="1AC5C56F" w14:textId="45FF0760" w:rsidR="001A1A35" w:rsidRPr="00E72107" w:rsidRDefault="001A1A35" w:rsidP="00644419">
      <w:pPr>
        <w:pStyle w:val="FootnoteText"/>
        <w:spacing w:after="0"/>
      </w:pPr>
      <w:r w:rsidRPr="00E72107">
        <w:rPr>
          <w:rStyle w:val="FootnoteReference"/>
        </w:rPr>
        <w:footnoteRef/>
      </w:r>
      <w:r w:rsidRPr="00E72107">
        <w:t xml:space="preserve"> Gina Carey and Carol Ray, </w:t>
      </w:r>
      <w:hyperlink r:id="rId51" w:history="1">
        <w:r w:rsidRPr="00AA6976">
          <w:rPr>
            <w:rStyle w:val="Hyperlink"/>
            <w:i/>
          </w:rPr>
          <w:t>Criminal Rocket Dockets in Kentucky</w:t>
        </w:r>
      </w:hyperlink>
      <w:r w:rsidRPr="00E72107">
        <w:t xml:space="preserve">, </w:t>
      </w:r>
      <w:r w:rsidRPr="009965D5">
        <w:t>Office of the Prosecutors Advisory Council</w:t>
      </w:r>
      <w:r w:rsidRPr="00E72107">
        <w:t>, (January 17, 2019)</w:t>
      </w:r>
      <w:r>
        <w:t>.</w:t>
      </w:r>
      <w:r w:rsidRPr="00E72107">
        <w:t xml:space="preserve"> </w:t>
      </w:r>
      <w:r w:rsidRPr="009965D5">
        <w:t>Kentucky Public Health</w:t>
      </w:r>
      <w:r w:rsidRPr="000D43B0">
        <w:t>,</w:t>
      </w:r>
      <w:r w:rsidRPr="00E72107">
        <w:t xml:space="preserve"> </w:t>
      </w:r>
      <w:hyperlink r:id="rId52" w:history="1">
        <w:r w:rsidRPr="001F1141">
          <w:rPr>
            <w:rStyle w:val="Hyperlink"/>
            <w:i/>
          </w:rPr>
          <w:t>At a Glance: Kentucky Harm Reduction and Syringe Exchange Program (HRSEP) Guidelines for Local Health Departments Implementing Needle Exchange Programs</w:t>
        </w:r>
        <w:r w:rsidRPr="001F1141">
          <w:rPr>
            <w:rStyle w:val="Hyperlink"/>
          </w:rPr>
          <w:t xml:space="preserve"> </w:t>
        </w:r>
      </w:hyperlink>
      <w:r w:rsidRPr="00E72107">
        <w:t>(May 11, 2015)</w:t>
      </w:r>
      <w:r>
        <w:t>.</w:t>
      </w:r>
    </w:p>
  </w:footnote>
  <w:footnote w:id="56">
    <w:p w14:paraId="4CB0D33B" w14:textId="2B1163CA" w:rsidR="001A1A35" w:rsidRPr="00E72107" w:rsidRDefault="001A1A35" w:rsidP="002B58C9">
      <w:pPr>
        <w:pStyle w:val="FootnoteText"/>
        <w:spacing w:after="0"/>
      </w:pPr>
      <w:r w:rsidRPr="00E72107">
        <w:rPr>
          <w:rStyle w:val="FootnoteReference"/>
        </w:rPr>
        <w:footnoteRef/>
      </w:r>
      <w:r w:rsidRPr="00E72107">
        <w:t xml:space="preserve"> </w:t>
      </w:r>
      <w:r w:rsidRPr="009965D5">
        <w:t>KY.gov Public Defenders Department of Advocacy</w:t>
      </w:r>
      <w:r w:rsidRPr="00E72107">
        <w:t xml:space="preserve">, </w:t>
      </w:r>
      <w:hyperlink r:id="rId53" w:history="1">
        <w:r w:rsidRPr="001F1141">
          <w:rPr>
            <w:rStyle w:val="Hyperlink"/>
            <w:i/>
          </w:rPr>
          <w:t>Alternative Worker Sentencing Program</w:t>
        </w:r>
      </w:hyperlink>
      <w:r>
        <w:rPr>
          <w:i/>
        </w:rPr>
        <w:t>.</w:t>
      </w:r>
      <w:r w:rsidRPr="00E72107">
        <w:rPr>
          <w:i/>
        </w:rPr>
        <w:t xml:space="preserve"> </w:t>
      </w:r>
    </w:p>
  </w:footnote>
  <w:footnote w:id="57">
    <w:p w14:paraId="36A45713" w14:textId="552E067C" w:rsidR="001A1A35" w:rsidRPr="00B135F1" w:rsidRDefault="001A1A35" w:rsidP="002B58C9">
      <w:pPr>
        <w:pStyle w:val="FootnoteText"/>
        <w:spacing w:after="0"/>
      </w:pPr>
      <w:r w:rsidRPr="00B135F1">
        <w:rPr>
          <w:rStyle w:val="FootnoteReference"/>
        </w:rPr>
        <w:footnoteRef/>
      </w:r>
      <w:r w:rsidRPr="00B135F1">
        <w:t xml:space="preserve"> </w:t>
      </w:r>
      <w:r w:rsidRPr="009965D5">
        <w:t>KY.</w:t>
      </w:r>
      <w:r>
        <w:t>g</w:t>
      </w:r>
      <w:r w:rsidRPr="009965D5">
        <w:t xml:space="preserve">ov </w:t>
      </w:r>
      <w:r>
        <w:t>KBML</w:t>
      </w:r>
      <w:r w:rsidRPr="00B135F1">
        <w:rPr>
          <w:i/>
        </w:rPr>
        <w:t xml:space="preserve">, </w:t>
      </w:r>
      <w:hyperlink r:id="rId54" w:history="1">
        <w:r w:rsidRPr="001F1141">
          <w:rPr>
            <w:rStyle w:val="Hyperlink"/>
            <w:i/>
          </w:rPr>
          <w:t>House Bill 1 Information</w:t>
        </w:r>
        <w:r w:rsidRPr="00277441">
          <w:rPr>
            <w:rStyle w:val="Hyperlink"/>
            <w:color w:val="auto"/>
            <w:u w:val="none"/>
          </w:rPr>
          <w:t>.</w:t>
        </w:r>
      </w:hyperlink>
    </w:p>
  </w:footnote>
  <w:footnote w:id="58">
    <w:p w14:paraId="59AD492B" w14:textId="79303796" w:rsidR="001A1A35" w:rsidRPr="00B135F1" w:rsidRDefault="001A1A35" w:rsidP="002B58C9">
      <w:pPr>
        <w:pStyle w:val="FootnoteText"/>
        <w:spacing w:after="0"/>
      </w:pPr>
      <w:r w:rsidRPr="00B135F1">
        <w:rPr>
          <w:rStyle w:val="FootnoteReference"/>
        </w:rPr>
        <w:footnoteRef/>
      </w:r>
      <w:r w:rsidRPr="00B135F1">
        <w:t xml:space="preserve"> </w:t>
      </w:r>
      <w:hyperlink r:id="rId55" w:history="1">
        <w:r w:rsidRPr="001F1141">
          <w:rPr>
            <w:rStyle w:val="Hyperlink"/>
          </w:rPr>
          <w:t>201 KAR. 9:260</w:t>
        </w:r>
      </w:hyperlink>
      <w:r w:rsidRPr="00B135F1">
        <w:t xml:space="preserve"> (2013)</w:t>
      </w:r>
      <w:r>
        <w:t>.</w:t>
      </w:r>
      <w:r w:rsidRPr="00B135F1">
        <w:t xml:space="preserve"> </w:t>
      </w:r>
      <w:hyperlink r:id="rId56" w:history="1">
        <w:r w:rsidRPr="001F1141">
          <w:rPr>
            <w:rStyle w:val="Hyperlink"/>
          </w:rPr>
          <w:t>201 KAR 9:270</w:t>
        </w:r>
      </w:hyperlink>
      <w:r w:rsidRPr="00B135F1">
        <w:t xml:space="preserve"> (2015)</w:t>
      </w:r>
      <w:r>
        <w:t>.</w:t>
      </w:r>
    </w:p>
  </w:footnote>
  <w:footnote w:id="59">
    <w:p w14:paraId="0E52127A" w14:textId="49D16822" w:rsidR="001A1A35" w:rsidRPr="00961C27" w:rsidRDefault="001A1A35" w:rsidP="00F31FBC">
      <w:pPr>
        <w:pStyle w:val="FootnoteText"/>
        <w:spacing w:after="0"/>
      </w:pPr>
      <w:r>
        <w:rPr>
          <w:rStyle w:val="FootnoteReference"/>
        </w:rPr>
        <w:footnoteRef/>
      </w:r>
      <w:r>
        <w:t xml:space="preserve"> </w:t>
      </w:r>
      <w:hyperlink r:id="rId57" w:history="1">
        <w:r w:rsidRPr="001F1141">
          <w:rPr>
            <w:rStyle w:val="Hyperlink"/>
          </w:rPr>
          <w:t>2022 Kentucky Acts 230</w:t>
        </w:r>
      </w:hyperlink>
      <w:r w:rsidRPr="00961C27">
        <w:t>.</w:t>
      </w:r>
    </w:p>
  </w:footnote>
  <w:footnote w:id="60">
    <w:p w14:paraId="6EC030F0" w14:textId="0194B6E6" w:rsidR="001A1A35" w:rsidRDefault="001A1A35" w:rsidP="00277441">
      <w:pPr>
        <w:pStyle w:val="FootnoteText"/>
        <w:spacing w:after="0"/>
      </w:pPr>
      <w:r>
        <w:rPr>
          <w:rStyle w:val="FootnoteReference"/>
        </w:rPr>
        <w:footnoteRef/>
      </w:r>
      <w:r>
        <w:t xml:space="preserve"> </w:t>
      </w:r>
      <w:hyperlink r:id="rId58" w:history="1">
        <w:r w:rsidRPr="005E1758">
          <w:rPr>
            <w:rStyle w:val="Hyperlink"/>
          </w:rPr>
          <w:t xml:space="preserve">H.B. 248, 2023 Gen. </w:t>
        </w:r>
        <w:r w:rsidRPr="005E1758">
          <w:rPr>
            <w:rStyle w:val="Hyperlink"/>
          </w:rPr>
          <w:t>Assemb., Reg. Sess.</w:t>
        </w:r>
      </w:hyperlink>
      <w:r w:rsidRPr="007D63D0">
        <w:t xml:space="preserve"> (Ky. 2023)</w:t>
      </w:r>
      <w:r>
        <w:t>.</w:t>
      </w:r>
    </w:p>
  </w:footnote>
  <w:footnote w:id="61">
    <w:p w14:paraId="48DC8174" w14:textId="4C85B728" w:rsidR="001A1A35" w:rsidRDefault="001A1A35" w:rsidP="00277441">
      <w:pPr>
        <w:pStyle w:val="FootnoteText"/>
        <w:spacing w:after="0"/>
      </w:pPr>
      <w:r>
        <w:rPr>
          <w:rStyle w:val="FootnoteReference"/>
        </w:rPr>
        <w:footnoteRef/>
      </w:r>
      <w:r>
        <w:t xml:space="preserve"> </w:t>
      </w:r>
      <w:hyperlink r:id="rId59" w:history="1">
        <w:r w:rsidRPr="005E1758">
          <w:rPr>
            <w:rStyle w:val="Hyperlink"/>
          </w:rPr>
          <w:t xml:space="preserve">S.B. 162, 2023 Gen. </w:t>
        </w:r>
        <w:r w:rsidRPr="005E1758">
          <w:rPr>
            <w:rStyle w:val="Hyperlink"/>
          </w:rPr>
          <w:t>Assemb., Reg. Sess.</w:t>
        </w:r>
      </w:hyperlink>
      <w:r>
        <w:t xml:space="preserve"> (Ky. 2023). </w:t>
      </w:r>
      <w:hyperlink r:id="rId60" w:history="1">
        <w:r w:rsidRPr="005E1758">
          <w:rPr>
            <w:rStyle w:val="Hyperlink"/>
          </w:rPr>
          <w:t>H.B. 3, 2023 Gen. Assemb., Reg. Sess. (Ky. 2023</w:t>
        </w:r>
      </w:hyperlink>
      <w:r>
        <w:t>).</w:t>
      </w:r>
    </w:p>
  </w:footnote>
  <w:footnote w:id="62">
    <w:p w14:paraId="13111E94" w14:textId="40D0691A" w:rsidR="001A1A35" w:rsidRPr="00067E4C" w:rsidRDefault="001A1A35">
      <w:pPr>
        <w:pStyle w:val="FootnoteText"/>
      </w:pPr>
      <w:r w:rsidRPr="007506B6">
        <w:rPr>
          <w:rStyle w:val="FootnoteReference"/>
        </w:rPr>
        <w:footnoteRef/>
      </w:r>
      <w:r w:rsidRPr="007506B6">
        <w:t xml:space="preserve"> </w:t>
      </w:r>
      <w:hyperlink r:id="rId61" w:history="1">
        <w:r w:rsidRPr="00277441">
          <w:rPr>
            <w:rStyle w:val="Hyperlink"/>
            <w:smallCaps/>
          </w:rPr>
          <w:t xml:space="preserve">KY </w:t>
        </w:r>
        <w:r w:rsidRPr="00277441">
          <w:rPr>
            <w:rStyle w:val="Hyperlink"/>
          </w:rPr>
          <w:t xml:space="preserve">Corrections </w:t>
        </w:r>
        <w:r w:rsidRPr="00277441">
          <w:rPr>
            <w:rStyle w:val="Hyperlink"/>
          </w:rPr>
          <w:t>Polices and Procedures, CPP 30.6 Division of Addiction Services Substnace Abuse Program</w:t>
        </w:r>
      </w:hyperlink>
      <w:r w:rsidRPr="00067E4C">
        <w:t xml:space="preserve"> (July 20, 2021).</w:t>
      </w:r>
    </w:p>
  </w:footnote>
  <w:footnote w:id="63">
    <w:p w14:paraId="67DCEB95" w14:textId="77777777" w:rsidR="001A1A35" w:rsidRDefault="001A1A35" w:rsidP="002B58C9">
      <w:pPr>
        <w:pStyle w:val="FootnoteText"/>
        <w:spacing w:after="0"/>
      </w:pPr>
      <w:r>
        <w:rPr>
          <w:rStyle w:val="FootnoteReference"/>
        </w:rPr>
        <w:footnoteRef/>
      </w:r>
      <w:r>
        <w:t xml:space="preserve"> </w:t>
      </w:r>
      <w:r w:rsidRPr="00861999">
        <w:t xml:space="preserve">Note, DOC is accredited through the American Correctional Association to perform </w:t>
      </w:r>
      <w:r>
        <w:t>h</w:t>
      </w:r>
      <w:r w:rsidRPr="00D8204A">
        <w:t xml:space="preserve">ealth risk assessment </w:t>
      </w:r>
      <w:r>
        <w:t>(HRAs)</w:t>
      </w:r>
      <w:r w:rsidRPr="00861999">
        <w:t>, which each inmate receives upon entry into a carceral setting.</w:t>
      </w:r>
      <w:r>
        <w:t xml:space="preserve"> </w:t>
      </w:r>
      <w:r w:rsidRPr="00861999">
        <w:t>The HRA includes indicators of risk for SUD.</w:t>
      </w:r>
      <w:r>
        <w:t xml:space="preserve"> </w:t>
      </w:r>
    </w:p>
  </w:footnote>
  <w:footnote w:id="64">
    <w:p w14:paraId="2146A1BA" w14:textId="165CCFAF" w:rsidR="001A1A35" w:rsidRPr="00277441" w:rsidRDefault="001A1A35" w:rsidP="00277441">
      <w:pPr>
        <w:spacing w:after="0"/>
        <w:rPr>
          <w:rFonts w:eastAsia="Calibri"/>
        </w:rPr>
      </w:pPr>
      <w:r w:rsidRPr="00067E4C">
        <w:rPr>
          <w:rStyle w:val="FootnoteReference"/>
          <w:sz w:val="20"/>
          <w:szCs w:val="20"/>
        </w:rPr>
        <w:footnoteRef/>
      </w:r>
      <w:r w:rsidRPr="00067E4C">
        <w:rPr>
          <w:sz w:val="20"/>
          <w:szCs w:val="20"/>
        </w:rPr>
        <w:t xml:space="preserve"> </w:t>
      </w:r>
      <w:hyperlink r:id="rId62" w:history="1">
        <w:r w:rsidRPr="00DF3F53">
          <w:rPr>
            <w:rStyle w:val="Hyperlink"/>
            <w:rFonts w:eastAsia="Calibri"/>
            <w:sz w:val="20"/>
            <w:szCs w:val="20"/>
          </w:rPr>
          <w:t>KY Corrections Policies and Procedures, CPP 30.9 Supporting Others in Active Recovery (SOAR) Program</w:t>
        </w:r>
      </w:hyperlink>
      <w:r w:rsidRPr="00277441">
        <w:rPr>
          <w:rFonts w:eastAsia="Calibri"/>
          <w:sz w:val="20"/>
          <w:szCs w:val="20"/>
        </w:rPr>
        <w:t xml:space="preserve"> (July 20, 2021).</w:t>
      </w:r>
    </w:p>
  </w:footnote>
  <w:footnote w:id="65">
    <w:p w14:paraId="2DB713F2" w14:textId="019819C3" w:rsidR="001A1A35" w:rsidRDefault="001A1A35" w:rsidP="002B58C9">
      <w:pPr>
        <w:pStyle w:val="FootnoteText"/>
        <w:spacing w:after="0"/>
      </w:pPr>
      <w:r>
        <w:rPr>
          <w:rStyle w:val="FootnoteReference"/>
        </w:rPr>
        <w:footnoteRef/>
      </w:r>
      <w:r>
        <w:t xml:space="preserve"> </w:t>
      </w:r>
      <w:hyperlink r:id="rId63" w:history="1">
        <w:r w:rsidRPr="005E1758">
          <w:rPr>
            <w:rStyle w:val="Hyperlink"/>
          </w:rPr>
          <w:t>Martha Tillson, et al., Criminal Justice Kentucky Treatment Outcome Study</w:t>
        </w:r>
      </w:hyperlink>
      <w:r w:rsidRPr="00E72176">
        <w:t xml:space="preserve"> (2022)</w:t>
      </w:r>
      <w:r>
        <w:t>.</w:t>
      </w:r>
    </w:p>
  </w:footnote>
  <w:footnote w:id="66">
    <w:p w14:paraId="6384E74E" w14:textId="55087513" w:rsidR="001A1A35" w:rsidRDefault="001A1A35" w:rsidP="002B58C9">
      <w:pPr>
        <w:pStyle w:val="FootnoteText"/>
        <w:spacing w:after="0"/>
      </w:pPr>
      <w:r>
        <w:rPr>
          <w:rStyle w:val="FootnoteReference"/>
        </w:rPr>
        <w:footnoteRef/>
      </w:r>
      <w:r>
        <w:t xml:space="preserve"> Id.</w:t>
      </w:r>
    </w:p>
  </w:footnote>
  <w:footnote w:id="67">
    <w:p w14:paraId="7CAA849B" w14:textId="77777777" w:rsidR="001A1A35" w:rsidRPr="006A0651" w:rsidRDefault="001A1A35" w:rsidP="002B58C9">
      <w:pPr>
        <w:pStyle w:val="FootnoteText"/>
        <w:spacing w:after="0"/>
      </w:pPr>
      <w:r>
        <w:rPr>
          <w:rStyle w:val="FootnoteReference"/>
        </w:rPr>
        <w:footnoteRef/>
      </w:r>
      <w:r>
        <w:t xml:space="preserve"> </w:t>
      </w:r>
      <w:r w:rsidRPr="006A0651">
        <w:t>HB 53, 2021 Gen</w:t>
      </w:r>
      <w:r>
        <w:t>eral</w:t>
      </w:r>
      <w:r w:rsidRPr="006A0651">
        <w:t xml:space="preserve"> Assemb</w:t>
      </w:r>
      <w:r>
        <w:t>ly</w:t>
      </w:r>
      <w:r w:rsidRPr="006A0651">
        <w:t>, Reg</w:t>
      </w:r>
      <w:r>
        <w:t>ular</w:t>
      </w:r>
      <w:r w:rsidRPr="006A0651">
        <w:t xml:space="preserve"> Sess</w:t>
      </w:r>
      <w:r>
        <w:t>ion</w:t>
      </w:r>
      <w:r w:rsidRPr="006A0651">
        <w:t xml:space="preserve"> (K</w:t>
      </w:r>
      <w:r>
        <w:t>entucky,</w:t>
      </w:r>
      <w:r w:rsidRPr="006A0651">
        <w:t xml:space="preserve"> 2021)</w:t>
      </w:r>
      <w:r>
        <w:t xml:space="preserve">, </w:t>
      </w:r>
      <w:r w:rsidRPr="006A0651">
        <w:t>K</w:t>
      </w:r>
      <w:r>
        <w:t>entucky Revised Statute</w:t>
      </w:r>
      <w:r w:rsidRPr="006A0651">
        <w:t xml:space="preserve"> § 205.590</w:t>
      </w:r>
      <w:r>
        <w:t>.</w:t>
      </w:r>
    </w:p>
  </w:footnote>
  <w:footnote w:id="68">
    <w:p w14:paraId="34AE3661" w14:textId="77777777" w:rsidR="001A1A35" w:rsidRDefault="001A1A35" w:rsidP="002B58C9">
      <w:pPr>
        <w:pStyle w:val="FootnoteText"/>
        <w:spacing w:after="0"/>
      </w:pPr>
      <w:r>
        <w:rPr>
          <w:rStyle w:val="FootnoteReference"/>
        </w:rPr>
        <w:footnoteRef/>
      </w:r>
      <w:r>
        <w:t xml:space="preserve"> </w:t>
      </w:r>
      <w:r w:rsidRPr="00EA4AA0">
        <w:t>Note, three state prisons operate in Oldham County.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B0C2" w14:textId="77777777" w:rsidR="001A1A35" w:rsidRDefault="001A1A35" w:rsidP="00272214">
    <w:pPr>
      <w:pStyle w:val="Header"/>
      <w:tabs>
        <w:tab w:val="clear" w:pos="4320"/>
        <w:tab w:val="clear" w:pos="8640"/>
        <w:tab w:val="left" w:pos="394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2DA8" w14:textId="472C1406" w:rsidR="001A1A35" w:rsidRDefault="001A1A35" w:rsidP="00564CA7">
    <w:pPr>
      <w:pStyle w:val="BodyText"/>
      <w:spacing w:after="0"/>
      <w:ind w:left="835"/>
      <w:jc w:val="right"/>
      <w:rPr>
        <w:b/>
        <w:color w:val="093865"/>
        <w:sz w:val="20"/>
        <w:szCs w:val="20"/>
        <w:u w:color="000000"/>
      </w:rPr>
    </w:pPr>
  </w:p>
  <w:p w14:paraId="7B5419AC" w14:textId="30F56FBF" w:rsidR="001A1A35" w:rsidRDefault="001A1A35" w:rsidP="00272214">
    <w:pPr>
      <w:pStyle w:val="Header"/>
      <w:tabs>
        <w:tab w:val="clear" w:pos="4320"/>
        <w:tab w:val="clear" w:pos="8640"/>
        <w:tab w:val="left" w:pos="3945"/>
      </w:tabs>
      <w:jc w:val="right"/>
    </w:pPr>
    <w:r w:rsidRPr="00DF3F53">
      <w:rPr>
        <w:noProof/>
      </w:rPr>
      <w:t xml:space="preserve"> </w:t>
    </w:r>
    <w:r>
      <w:rPr>
        <w:noProof/>
      </w:rPr>
      <w:drawing>
        <wp:inline distT="0" distB="0" distL="0" distR="0" wp14:anchorId="5F812CF3" wp14:editId="6A860A1F">
          <wp:extent cx="5943600" cy="701675"/>
          <wp:effectExtent l="0" t="0" r="0" b="3175"/>
          <wp:docPr id="32" name="Picture 32" descr="Kentucky Department for&#10;Medicaid Services&#10;Section 1115 Reentry Demonstr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016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9E68" w14:textId="77777777" w:rsidR="001A1A35" w:rsidRDefault="001A1A35" w:rsidP="00564CA7">
    <w:pPr>
      <w:pStyle w:val="BodyText"/>
      <w:spacing w:after="0"/>
      <w:ind w:left="835"/>
      <w:jc w:val="right"/>
      <w:rPr>
        <w:b/>
        <w:color w:val="093865"/>
        <w:sz w:val="20"/>
        <w:szCs w:val="20"/>
        <w:u w:color="000000"/>
      </w:rPr>
    </w:pPr>
  </w:p>
  <w:p w14:paraId="1681E3DC" w14:textId="77777777" w:rsidR="001A1A35" w:rsidRDefault="001A1A35" w:rsidP="00272214">
    <w:pPr>
      <w:pStyle w:val="Header"/>
      <w:tabs>
        <w:tab w:val="clear" w:pos="4320"/>
        <w:tab w:val="clear" w:pos="8640"/>
        <w:tab w:val="left" w:pos="3945"/>
      </w:tabs>
      <w:jc w:val="right"/>
    </w:pPr>
    <w:r>
      <w:rPr>
        <w:noProof/>
      </w:rPr>
      <w:drawing>
        <wp:inline distT="0" distB="0" distL="0" distR="0" wp14:anchorId="100F2DDD" wp14:editId="315F40F1">
          <wp:extent cx="8229600" cy="666115"/>
          <wp:effectExtent l="0" t="0" r="0" b="635"/>
          <wp:docPr id="3" name="Picture 3" descr="Kentucky Department for&#10;Medicaid Services&#10;Section 1115 Reentry Demonstr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6661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E621" w14:textId="7A23238C" w:rsidR="001A1A35" w:rsidRDefault="001A1A35" w:rsidP="00272214">
    <w:pPr>
      <w:pStyle w:val="Header"/>
      <w:tabs>
        <w:tab w:val="clear" w:pos="4320"/>
        <w:tab w:val="clear" w:pos="8640"/>
        <w:tab w:val="left" w:pos="3945"/>
      </w:tabs>
      <w:jc w:val="right"/>
    </w:pPr>
    <w:r>
      <w:rPr>
        <w:noProof/>
      </w:rPr>
      <w:drawing>
        <wp:inline distT="0" distB="0" distL="0" distR="0" wp14:anchorId="1D124313" wp14:editId="69EA279B">
          <wp:extent cx="5943600" cy="701675"/>
          <wp:effectExtent l="0" t="0" r="0" b="3175"/>
          <wp:docPr id="4" name="Picture 4" descr="Kentucky Department for&#10;Medicaid Services&#10;Section 1115 Reentry Demonstr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01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4C1"/>
    <w:multiLevelType w:val="hybridMultilevel"/>
    <w:tmpl w:val="FBE06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6B1D"/>
    <w:multiLevelType w:val="hybridMultilevel"/>
    <w:tmpl w:val="0A0A6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1C70D8"/>
    <w:multiLevelType w:val="hybridMultilevel"/>
    <w:tmpl w:val="29620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A152A1"/>
    <w:multiLevelType w:val="hybridMultilevel"/>
    <w:tmpl w:val="7B04D876"/>
    <w:lvl w:ilvl="0" w:tplc="04090001">
      <w:start w:val="1"/>
      <w:numFmt w:val="bullet"/>
      <w:lvlText w:val=""/>
      <w:lvlJc w:val="left"/>
      <w:pPr>
        <w:ind w:left="720" w:hanging="360"/>
      </w:pPr>
      <w:rPr>
        <w:rFonts w:ascii="Symbol" w:hAnsi="Symbol" w:hint="default"/>
        <w:color w:val="04436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17FA"/>
    <w:multiLevelType w:val="hybridMultilevel"/>
    <w:tmpl w:val="00B8C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55FD9"/>
    <w:multiLevelType w:val="hybridMultilevel"/>
    <w:tmpl w:val="722A51AE"/>
    <w:lvl w:ilvl="0" w:tplc="530C6752">
      <w:start w:val="1"/>
      <w:numFmt w:val="bullet"/>
      <w:pStyle w:val="WVBullet2"/>
      <w:lvlText w:val=""/>
      <w:lvlJc w:val="left"/>
      <w:pPr>
        <w:ind w:left="720" w:hanging="360"/>
      </w:pPr>
      <w:rPr>
        <w:rFonts w:ascii="Symbol" w:hAnsi="Symbol" w:hint="default"/>
        <w:color w:val="04436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D3D73"/>
    <w:multiLevelType w:val="hybridMultilevel"/>
    <w:tmpl w:val="D174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92B35"/>
    <w:multiLevelType w:val="hybridMultilevel"/>
    <w:tmpl w:val="C95670B8"/>
    <w:lvl w:ilvl="0" w:tplc="C8F631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2156F"/>
    <w:multiLevelType w:val="hybridMultilevel"/>
    <w:tmpl w:val="EF24D5C8"/>
    <w:lvl w:ilvl="0" w:tplc="04090001">
      <w:start w:val="1"/>
      <w:numFmt w:val="bullet"/>
      <w:lvlText w:val=""/>
      <w:lvlJc w:val="left"/>
      <w:pPr>
        <w:ind w:left="360" w:hanging="360"/>
      </w:pPr>
      <w:rPr>
        <w:rFonts w:ascii="Symbol" w:hAnsi="Symbol" w:hint="default"/>
      </w:rPr>
    </w:lvl>
    <w:lvl w:ilvl="1" w:tplc="E7E03F0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395540"/>
    <w:multiLevelType w:val="hybridMultilevel"/>
    <w:tmpl w:val="FBE06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D5B63"/>
    <w:multiLevelType w:val="hybridMultilevel"/>
    <w:tmpl w:val="524ECECC"/>
    <w:lvl w:ilvl="0" w:tplc="F23479B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945810">
    <w:abstractNumId w:val="6"/>
  </w:num>
  <w:num w:numId="2" w16cid:durableId="1351448120">
    <w:abstractNumId w:val="4"/>
  </w:num>
  <w:num w:numId="3" w16cid:durableId="1151368587">
    <w:abstractNumId w:val="1"/>
  </w:num>
  <w:num w:numId="4" w16cid:durableId="1882397675">
    <w:abstractNumId w:val="7"/>
  </w:num>
  <w:num w:numId="5" w16cid:durableId="1887450827">
    <w:abstractNumId w:val="5"/>
  </w:num>
  <w:num w:numId="6" w16cid:durableId="675887817">
    <w:abstractNumId w:val="8"/>
  </w:num>
  <w:num w:numId="7" w16cid:durableId="32267551">
    <w:abstractNumId w:val="2"/>
  </w:num>
  <w:num w:numId="8" w16cid:durableId="440800764">
    <w:abstractNumId w:val="0"/>
  </w:num>
  <w:num w:numId="9" w16cid:durableId="1239826616">
    <w:abstractNumId w:val="5"/>
    <w:lvlOverride w:ilvl="0">
      <w:startOverride w:val="1"/>
    </w:lvlOverride>
  </w:num>
  <w:num w:numId="10" w16cid:durableId="448933773">
    <w:abstractNumId w:val="5"/>
  </w:num>
  <w:num w:numId="11" w16cid:durableId="142701498">
    <w:abstractNumId w:val="9"/>
  </w:num>
  <w:num w:numId="12" w16cid:durableId="1537087151">
    <w:abstractNumId w:val="3"/>
  </w:num>
  <w:num w:numId="13" w16cid:durableId="605233850">
    <w:abstractNumId w:val="10"/>
  </w:num>
  <w:num w:numId="14" w16cid:durableId="1198739317">
    <w:abstractNumId w:val="5"/>
  </w:num>
  <w:num w:numId="15" w16cid:durableId="2062367339">
    <w:abstractNumId w:val="5"/>
  </w:num>
  <w:num w:numId="16" w16cid:durableId="868374257">
    <w:abstractNumId w:val="5"/>
  </w:num>
  <w:num w:numId="17" w16cid:durableId="56468008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3"/>
    <w:rsid w:val="000000C2"/>
    <w:rsid w:val="00001077"/>
    <w:rsid w:val="0000414E"/>
    <w:rsid w:val="00004821"/>
    <w:rsid w:val="00006ECE"/>
    <w:rsid w:val="00007ED1"/>
    <w:rsid w:val="00024BC9"/>
    <w:rsid w:val="00024E9D"/>
    <w:rsid w:val="00030A1F"/>
    <w:rsid w:val="00033F26"/>
    <w:rsid w:val="000348A1"/>
    <w:rsid w:val="00037992"/>
    <w:rsid w:val="000401FB"/>
    <w:rsid w:val="00042D46"/>
    <w:rsid w:val="00044355"/>
    <w:rsid w:val="00045F7A"/>
    <w:rsid w:val="00050592"/>
    <w:rsid w:val="000505E1"/>
    <w:rsid w:val="00050D00"/>
    <w:rsid w:val="000523FE"/>
    <w:rsid w:val="000524DD"/>
    <w:rsid w:val="00053B39"/>
    <w:rsid w:val="00055E66"/>
    <w:rsid w:val="00057393"/>
    <w:rsid w:val="000623FF"/>
    <w:rsid w:val="0006362B"/>
    <w:rsid w:val="000639CA"/>
    <w:rsid w:val="00067E4C"/>
    <w:rsid w:val="00070B34"/>
    <w:rsid w:val="00071CF2"/>
    <w:rsid w:val="00074B8C"/>
    <w:rsid w:val="0007534D"/>
    <w:rsid w:val="00076ADF"/>
    <w:rsid w:val="000774E8"/>
    <w:rsid w:val="0007771A"/>
    <w:rsid w:val="00081252"/>
    <w:rsid w:val="00082613"/>
    <w:rsid w:val="0008673E"/>
    <w:rsid w:val="00086DAD"/>
    <w:rsid w:val="00086E12"/>
    <w:rsid w:val="00090495"/>
    <w:rsid w:val="000936E3"/>
    <w:rsid w:val="000938A0"/>
    <w:rsid w:val="000951C6"/>
    <w:rsid w:val="0009672A"/>
    <w:rsid w:val="00096B2F"/>
    <w:rsid w:val="0009704D"/>
    <w:rsid w:val="000A08AB"/>
    <w:rsid w:val="000A375D"/>
    <w:rsid w:val="000A66C3"/>
    <w:rsid w:val="000B30BA"/>
    <w:rsid w:val="000B434C"/>
    <w:rsid w:val="000B6C64"/>
    <w:rsid w:val="000C128B"/>
    <w:rsid w:val="000C26ED"/>
    <w:rsid w:val="000C3D34"/>
    <w:rsid w:val="000C5C1E"/>
    <w:rsid w:val="000C680C"/>
    <w:rsid w:val="000C6F5C"/>
    <w:rsid w:val="000C7AFB"/>
    <w:rsid w:val="000D082B"/>
    <w:rsid w:val="000D1120"/>
    <w:rsid w:val="000D43B0"/>
    <w:rsid w:val="000D4D30"/>
    <w:rsid w:val="000E214F"/>
    <w:rsid w:val="000E39A1"/>
    <w:rsid w:val="000E3CA6"/>
    <w:rsid w:val="000E704D"/>
    <w:rsid w:val="000F0880"/>
    <w:rsid w:val="000F0F99"/>
    <w:rsid w:val="000F1399"/>
    <w:rsid w:val="000F151F"/>
    <w:rsid w:val="000F17F2"/>
    <w:rsid w:val="000F22E5"/>
    <w:rsid w:val="000F3480"/>
    <w:rsid w:val="000F687E"/>
    <w:rsid w:val="00100F08"/>
    <w:rsid w:val="00102AE1"/>
    <w:rsid w:val="00107360"/>
    <w:rsid w:val="00110547"/>
    <w:rsid w:val="00110B52"/>
    <w:rsid w:val="00110D02"/>
    <w:rsid w:val="0011491D"/>
    <w:rsid w:val="001149DA"/>
    <w:rsid w:val="00115682"/>
    <w:rsid w:val="00117762"/>
    <w:rsid w:val="00121E80"/>
    <w:rsid w:val="0013013C"/>
    <w:rsid w:val="00131848"/>
    <w:rsid w:val="00137205"/>
    <w:rsid w:val="001403E2"/>
    <w:rsid w:val="00140A35"/>
    <w:rsid w:val="00142D34"/>
    <w:rsid w:val="001459FB"/>
    <w:rsid w:val="00147748"/>
    <w:rsid w:val="00147BC2"/>
    <w:rsid w:val="0015084F"/>
    <w:rsid w:val="00150CB5"/>
    <w:rsid w:val="00152820"/>
    <w:rsid w:val="00152984"/>
    <w:rsid w:val="00153E0D"/>
    <w:rsid w:val="00162AF7"/>
    <w:rsid w:val="00163FC9"/>
    <w:rsid w:val="00165235"/>
    <w:rsid w:val="00166C90"/>
    <w:rsid w:val="00166D78"/>
    <w:rsid w:val="00170E0C"/>
    <w:rsid w:val="00172833"/>
    <w:rsid w:val="00173A43"/>
    <w:rsid w:val="00175EB1"/>
    <w:rsid w:val="00177426"/>
    <w:rsid w:val="001818DF"/>
    <w:rsid w:val="00181A22"/>
    <w:rsid w:val="00192506"/>
    <w:rsid w:val="00196518"/>
    <w:rsid w:val="00196F7A"/>
    <w:rsid w:val="0019723F"/>
    <w:rsid w:val="001A06B6"/>
    <w:rsid w:val="001A07C5"/>
    <w:rsid w:val="001A1A35"/>
    <w:rsid w:val="001A420B"/>
    <w:rsid w:val="001A6016"/>
    <w:rsid w:val="001A6772"/>
    <w:rsid w:val="001B08EA"/>
    <w:rsid w:val="001B175F"/>
    <w:rsid w:val="001B29EE"/>
    <w:rsid w:val="001B2ECB"/>
    <w:rsid w:val="001B41E5"/>
    <w:rsid w:val="001B4C6D"/>
    <w:rsid w:val="001B4DB3"/>
    <w:rsid w:val="001B6171"/>
    <w:rsid w:val="001C149C"/>
    <w:rsid w:val="001C3DA1"/>
    <w:rsid w:val="001C412A"/>
    <w:rsid w:val="001C5469"/>
    <w:rsid w:val="001C5D4D"/>
    <w:rsid w:val="001D0B81"/>
    <w:rsid w:val="001D2762"/>
    <w:rsid w:val="001D3E8D"/>
    <w:rsid w:val="001D4F55"/>
    <w:rsid w:val="001D7660"/>
    <w:rsid w:val="001E24D6"/>
    <w:rsid w:val="001E3371"/>
    <w:rsid w:val="001E440D"/>
    <w:rsid w:val="001E52F0"/>
    <w:rsid w:val="001F1141"/>
    <w:rsid w:val="001F1A2C"/>
    <w:rsid w:val="001F377E"/>
    <w:rsid w:val="001F5E17"/>
    <w:rsid w:val="00202470"/>
    <w:rsid w:val="00202ACF"/>
    <w:rsid w:val="00203BC1"/>
    <w:rsid w:val="00203CA0"/>
    <w:rsid w:val="00205010"/>
    <w:rsid w:val="002073E8"/>
    <w:rsid w:val="00212E83"/>
    <w:rsid w:val="00217F56"/>
    <w:rsid w:val="002217BE"/>
    <w:rsid w:val="002225EC"/>
    <w:rsid w:val="00224956"/>
    <w:rsid w:val="0023192B"/>
    <w:rsid w:val="002323E2"/>
    <w:rsid w:val="0023286E"/>
    <w:rsid w:val="0023650C"/>
    <w:rsid w:val="002456E6"/>
    <w:rsid w:val="00247BCB"/>
    <w:rsid w:val="00250912"/>
    <w:rsid w:val="002526C0"/>
    <w:rsid w:val="00260836"/>
    <w:rsid w:val="0026158F"/>
    <w:rsid w:val="00261A19"/>
    <w:rsid w:val="00263BB2"/>
    <w:rsid w:val="002643A5"/>
    <w:rsid w:val="002653A3"/>
    <w:rsid w:val="00272214"/>
    <w:rsid w:val="00273E59"/>
    <w:rsid w:val="00274694"/>
    <w:rsid w:val="00276328"/>
    <w:rsid w:val="0027710D"/>
    <w:rsid w:val="00277441"/>
    <w:rsid w:val="00280CFA"/>
    <w:rsid w:val="00282860"/>
    <w:rsid w:val="00287744"/>
    <w:rsid w:val="002909F9"/>
    <w:rsid w:val="00290D3C"/>
    <w:rsid w:val="00291985"/>
    <w:rsid w:val="0029403E"/>
    <w:rsid w:val="00294256"/>
    <w:rsid w:val="00295448"/>
    <w:rsid w:val="0029615C"/>
    <w:rsid w:val="002968B6"/>
    <w:rsid w:val="002A276F"/>
    <w:rsid w:val="002A355D"/>
    <w:rsid w:val="002A52A3"/>
    <w:rsid w:val="002A542A"/>
    <w:rsid w:val="002A696A"/>
    <w:rsid w:val="002B0234"/>
    <w:rsid w:val="002B03C9"/>
    <w:rsid w:val="002B1035"/>
    <w:rsid w:val="002B20A0"/>
    <w:rsid w:val="002B33ED"/>
    <w:rsid w:val="002B58C9"/>
    <w:rsid w:val="002B6020"/>
    <w:rsid w:val="002C4F6A"/>
    <w:rsid w:val="002C7718"/>
    <w:rsid w:val="002D069C"/>
    <w:rsid w:val="002D365B"/>
    <w:rsid w:val="002D5454"/>
    <w:rsid w:val="002D7935"/>
    <w:rsid w:val="002E5522"/>
    <w:rsid w:val="002F02B9"/>
    <w:rsid w:val="002F121C"/>
    <w:rsid w:val="002F1818"/>
    <w:rsid w:val="002F2973"/>
    <w:rsid w:val="002F3D67"/>
    <w:rsid w:val="002F794D"/>
    <w:rsid w:val="00300CD1"/>
    <w:rsid w:val="003032AC"/>
    <w:rsid w:val="00307542"/>
    <w:rsid w:val="00307825"/>
    <w:rsid w:val="00312A22"/>
    <w:rsid w:val="0031340F"/>
    <w:rsid w:val="003147C7"/>
    <w:rsid w:val="003159DB"/>
    <w:rsid w:val="003160DB"/>
    <w:rsid w:val="003169EF"/>
    <w:rsid w:val="00317896"/>
    <w:rsid w:val="00320F8E"/>
    <w:rsid w:val="00324525"/>
    <w:rsid w:val="0032505C"/>
    <w:rsid w:val="0032755A"/>
    <w:rsid w:val="00327C41"/>
    <w:rsid w:val="00327EBB"/>
    <w:rsid w:val="003302F6"/>
    <w:rsid w:val="00330876"/>
    <w:rsid w:val="003340F1"/>
    <w:rsid w:val="0033485D"/>
    <w:rsid w:val="00336207"/>
    <w:rsid w:val="00336230"/>
    <w:rsid w:val="003372D7"/>
    <w:rsid w:val="00337B94"/>
    <w:rsid w:val="0034137A"/>
    <w:rsid w:val="00341DAF"/>
    <w:rsid w:val="00341EFB"/>
    <w:rsid w:val="0034298A"/>
    <w:rsid w:val="0034381F"/>
    <w:rsid w:val="00345680"/>
    <w:rsid w:val="00350CE9"/>
    <w:rsid w:val="00354FDE"/>
    <w:rsid w:val="00356EA3"/>
    <w:rsid w:val="003575BD"/>
    <w:rsid w:val="00357633"/>
    <w:rsid w:val="003607AF"/>
    <w:rsid w:val="00371C98"/>
    <w:rsid w:val="003748E1"/>
    <w:rsid w:val="00376A4E"/>
    <w:rsid w:val="00377FEC"/>
    <w:rsid w:val="00380907"/>
    <w:rsid w:val="00380D2A"/>
    <w:rsid w:val="00384C1F"/>
    <w:rsid w:val="00385742"/>
    <w:rsid w:val="00392E2B"/>
    <w:rsid w:val="003949AF"/>
    <w:rsid w:val="003A1E0A"/>
    <w:rsid w:val="003A40B4"/>
    <w:rsid w:val="003A4559"/>
    <w:rsid w:val="003B3EFA"/>
    <w:rsid w:val="003B432A"/>
    <w:rsid w:val="003B4838"/>
    <w:rsid w:val="003B4CBC"/>
    <w:rsid w:val="003B4DF4"/>
    <w:rsid w:val="003B5D81"/>
    <w:rsid w:val="003C0848"/>
    <w:rsid w:val="003C1D70"/>
    <w:rsid w:val="003C55EA"/>
    <w:rsid w:val="003C59BD"/>
    <w:rsid w:val="003C790A"/>
    <w:rsid w:val="003C7FC9"/>
    <w:rsid w:val="003D1641"/>
    <w:rsid w:val="003D226A"/>
    <w:rsid w:val="003D3B96"/>
    <w:rsid w:val="003D56F7"/>
    <w:rsid w:val="003D5F9D"/>
    <w:rsid w:val="003E1827"/>
    <w:rsid w:val="003E3467"/>
    <w:rsid w:val="003E5BCD"/>
    <w:rsid w:val="003F09EE"/>
    <w:rsid w:val="003F1A58"/>
    <w:rsid w:val="003F6654"/>
    <w:rsid w:val="00407CFD"/>
    <w:rsid w:val="00414492"/>
    <w:rsid w:val="00414D70"/>
    <w:rsid w:val="004152C2"/>
    <w:rsid w:val="004166A7"/>
    <w:rsid w:val="00416AB8"/>
    <w:rsid w:val="0041776C"/>
    <w:rsid w:val="004206E6"/>
    <w:rsid w:val="00421A40"/>
    <w:rsid w:val="00421BBF"/>
    <w:rsid w:val="004223E5"/>
    <w:rsid w:val="00424A1B"/>
    <w:rsid w:val="00426773"/>
    <w:rsid w:val="004307B9"/>
    <w:rsid w:val="00430926"/>
    <w:rsid w:val="00430C79"/>
    <w:rsid w:val="00431A6C"/>
    <w:rsid w:val="0043464C"/>
    <w:rsid w:val="00434CAB"/>
    <w:rsid w:val="004356F6"/>
    <w:rsid w:val="00441F6A"/>
    <w:rsid w:val="00445C5A"/>
    <w:rsid w:val="00447651"/>
    <w:rsid w:val="00450B57"/>
    <w:rsid w:val="004526A8"/>
    <w:rsid w:val="004550A7"/>
    <w:rsid w:val="004558CF"/>
    <w:rsid w:val="00456532"/>
    <w:rsid w:val="00456594"/>
    <w:rsid w:val="0046245E"/>
    <w:rsid w:val="00462AC6"/>
    <w:rsid w:val="004643FF"/>
    <w:rsid w:val="00465DCF"/>
    <w:rsid w:val="00467DF6"/>
    <w:rsid w:val="004711DE"/>
    <w:rsid w:val="00473100"/>
    <w:rsid w:val="00474A51"/>
    <w:rsid w:val="00475D6C"/>
    <w:rsid w:val="004762A8"/>
    <w:rsid w:val="00476A11"/>
    <w:rsid w:val="00480D98"/>
    <w:rsid w:val="00482916"/>
    <w:rsid w:val="0048363D"/>
    <w:rsid w:val="004838F2"/>
    <w:rsid w:val="00483EE7"/>
    <w:rsid w:val="00483F4A"/>
    <w:rsid w:val="004900FB"/>
    <w:rsid w:val="00490CFD"/>
    <w:rsid w:val="004933CE"/>
    <w:rsid w:val="00493AE1"/>
    <w:rsid w:val="00494EB8"/>
    <w:rsid w:val="00495650"/>
    <w:rsid w:val="00496DD2"/>
    <w:rsid w:val="004979E3"/>
    <w:rsid w:val="004A558C"/>
    <w:rsid w:val="004B098F"/>
    <w:rsid w:val="004B2665"/>
    <w:rsid w:val="004B2ED4"/>
    <w:rsid w:val="004B43BB"/>
    <w:rsid w:val="004B50FE"/>
    <w:rsid w:val="004C283C"/>
    <w:rsid w:val="004C284B"/>
    <w:rsid w:val="004C52B7"/>
    <w:rsid w:val="004C7314"/>
    <w:rsid w:val="004C77F0"/>
    <w:rsid w:val="004C7F2E"/>
    <w:rsid w:val="004D03BA"/>
    <w:rsid w:val="004D1D7F"/>
    <w:rsid w:val="004D286D"/>
    <w:rsid w:val="004D30DB"/>
    <w:rsid w:val="004D5BCC"/>
    <w:rsid w:val="004D6689"/>
    <w:rsid w:val="004E3B94"/>
    <w:rsid w:val="004F1201"/>
    <w:rsid w:val="004F204D"/>
    <w:rsid w:val="004F4174"/>
    <w:rsid w:val="004F5B21"/>
    <w:rsid w:val="004F663C"/>
    <w:rsid w:val="00503889"/>
    <w:rsid w:val="00507549"/>
    <w:rsid w:val="0051110D"/>
    <w:rsid w:val="0051470F"/>
    <w:rsid w:val="00515E17"/>
    <w:rsid w:val="00516087"/>
    <w:rsid w:val="005218D7"/>
    <w:rsid w:val="00526E73"/>
    <w:rsid w:val="005317EC"/>
    <w:rsid w:val="00532948"/>
    <w:rsid w:val="00532F08"/>
    <w:rsid w:val="00536522"/>
    <w:rsid w:val="00544032"/>
    <w:rsid w:val="0054471D"/>
    <w:rsid w:val="0054549A"/>
    <w:rsid w:val="0054789C"/>
    <w:rsid w:val="0055088F"/>
    <w:rsid w:val="005532BA"/>
    <w:rsid w:val="005570A6"/>
    <w:rsid w:val="00561A63"/>
    <w:rsid w:val="00564CA7"/>
    <w:rsid w:val="00570359"/>
    <w:rsid w:val="00570DCE"/>
    <w:rsid w:val="00573B9C"/>
    <w:rsid w:val="00575EDF"/>
    <w:rsid w:val="0057659D"/>
    <w:rsid w:val="00576A3B"/>
    <w:rsid w:val="00576C01"/>
    <w:rsid w:val="005778AB"/>
    <w:rsid w:val="00581701"/>
    <w:rsid w:val="00584133"/>
    <w:rsid w:val="00585043"/>
    <w:rsid w:val="0058551D"/>
    <w:rsid w:val="00585F41"/>
    <w:rsid w:val="005863F7"/>
    <w:rsid w:val="00592D13"/>
    <w:rsid w:val="00597C6D"/>
    <w:rsid w:val="005A01F9"/>
    <w:rsid w:val="005A1E7D"/>
    <w:rsid w:val="005A3250"/>
    <w:rsid w:val="005A3805"/>
    <w:rsid w:val="005A56AA"/>
    <w:rsid w:val="005B0930"/>
    <w:rsid w:val="005B16D0"/>
    <w:rsid w:val="005B56C4"/>
    <w:rsid w:val="005B587C"/>
    <w:rsid w:val="005B606A"/>
    <w:rsid w:val="005B78E2"/>
    <w:rsid w:val="005C1B33"/>
    <w:rsid w:val="005C3118"/>
    <w:rsid w:val="005C3DA2"/>
    <w:rsid w:val="005C6863"/>
    <w:rsid w:val="005D04D9"/>
    <w:rsid w:val="005D4193"/>
    <w:rsid w:val="005D5C6D"/>
    <w:rsid w:val="005E067E"/>
    <w:rsid w:val="005E0B07"/>
    <w:rsid w:val="005E1269"/>
    <w:rsid w:val="005E1758"/>
    <w:rsid w:val="005E3133"/>
    <w:rsid w:val="005E570B"/>
    <w:rsid w:val="005E6D6E"/>
    <w:rsid w:val="005E7AEC"/>
    <w:rsid w:val="005F129F"/>
    <w:rsid w:val="005F2A3D"/>
    <w:rsid w:val="005F3882"/>
    <w:rsid w:val="005F545F"/>
    <w:rsid w:val="00601072"/>
    <w:rsid w:val="006017FD"/>
    <w:rsid w:val="00611F6E"/>
    <w:rsid w:val="00612BF3"/>
    <w:rsid w:val="00615363"/>
    <w:rsid w:val="0061586C"/>
    <w:rsid w:val="00616D1B"/>
    <w:rsid w:val="006170B8"/>
    <w:rsid w:val="00617DA0"/>
    <w:rsid w:val="00620D2C"/>
    <w:rsid w:val="00622153"/>
    <w:rsid w:val="006221D0"/>
    <w:rsid w:val="0062248A"/>
    <w:rsid w:val="0062434A"/>
    <w:rsid w:val="00626F66"/>
    <w:rsid w:val="0063201F"/>
    <w:rsid w:val="00632836"/>
    <w:rsid w:val="0063523B"/>
    <w:rsid w:val="0063616D"/>
    <w:rsid w:val="00636F0B"/>
    <w:rsid w:val="00636F1B"/>
    <w:rsid w:val="00641C5A"/>
    <w:rsid w:val="00641CDF"/>
    <w:rsid w:val="00644419"/>
    <w:rsid w:val="00644ED3"/>
    <w:rsid w:val="00646517"/>
    <w:rsid w:val="00646830"/>
    <w:rsid w:val="00647364"/>
    <w:rsid w:val="00650362"/>
    <w:rsid w:val="006520E5"/>
    <w:rsid w:val="00654F2F"/>
    <w:rsid w:val="00655473"/>
    <w:rsid w:val="0066080E"/>
    <w:rsid w:val="00664E56"/>
    <w:rsid w:val="00666A57"/>
    <w:rsid w:val="00667424"/>
    <w:rsid w:val="006726B1"/>
    <w:rsid w:val="00673D72"/>
    <w:rsid w:val="00674D8C"/>
    <w:rsid w:val="006764DD"/>
    <w:rsid w:val="00684148"/>
    <w:rsid w:val="006863F4"/>
    <w:rsid w:val="0068657B"/>
    <w:rsid w:val="0069273E"/>
    <w:rsid w:val="006938F6"/>
    <w:rsid w:val="006948CE"/>
    <w:rsid w:val="006A0651"/>
    <w:rsid w:val="006A7AC3"/>
    <w:rsid w:val="006B1841"/>
    <w:rsid w:val="006B31E4"/>
    <w:rsid w:val="006B48C5"/>
    <w:rsid w:val="006B7B66"/>
    <w:rsid w:val="006C16E0"/>
    <w:rsid w:val="006C4211"/>
    <w:rsid w:val="006C43DC"/>
    <w:rsid w:val="006C5ED2"/>
    <w:rsid w:val="006C65A0"/>
    <w:rsid w:val="006C730C"/>
    <w:rsid w:val="006C7448"/>
    <w:rsid w:val="006D037F"/>
    <w:rsid w:val="006D1328"/>
    <w:rsid w:val="006D2195"/>
    <w:rsid w:val="006D25B9"/>
    <w:rsid w:val="006D2EDA"/>
    <w:rsid w:val="006D4674"/>
    <w:rsid w:val="006D5D6F"/>
    <w:rsid w:val="006E2151"/>
    <w:rsid w:val="006E3E3A"/>
    <w:rsid w:val="006E531A"/>
    <w:rsid w:val="006E58DC"/>
    <w:rsid w:val="006F4513"/>
    <w:rsid w:val="006F5FAF"/>
    <w:rsid w:val="006F7BB6"/>
    <w:rsid w:val="0070023E"/>
    <w:rsid w:val="00702311"/>
    <w:rsid w:val="00711655"/>
    <w:rsid w:val="007158EC"/>
    <w:rsid w:val="00716507"/>
    <w:rsid w:val="007205DF"/>
    <w:rsid w:val="00720ECD"/>
    <w:rsid w:val="007228ED"/>
    <w:rsid w:val="007254C3"/>
    <w:rsid w:val="00725DFE"/>
    <w:rsid w:val="007268AD"/>
    <w:rsid w:val="00726A5D"/>
    <w:rsid w:val="00727125"/>
    <w:rsid w:val="00730066"/>
    <w:rsid w:val="00732950"/>
    <w:rsid w:val="00733DE0"/>
    <w:rsid w:val="007344C9"/>
    <w:rsid w:val="00735623"/>
    <w:rsid w:val="007358A6"/>
    <w:rsid w:val="007403A1"/>
    <w:rsid w:val="00740816"/>
    <w:rsid w:val="00741591"/>
    <w:rsid w:val="00746864"/>
    <w:rsid w:val="007506B6"/>
    <w:rsid w:val="00751387"/>
    <w:rsid w:val="007557C5"/>
    <w:rsid w:val="0075716B"/>
    <w:rsid w:val="0075744C"/>
    <w:rsid w:val="00760AB4"/>
    <w:rsid w:val="007625FF"/>
    <w:rsid w:val="007650D2"/>
    <w:rsid w:val="00765AA4"/>
    <w:rsid w:val="00765E28"/>
    <w:rsid w:val="007708C1"/>
    <w:rsid w:val="00771082"/>
    <w:rsid w:val="0077133E"/>
    <w:rsid w:val="007724D5"/>
    <w:rsid w:val="00773506"/>
    <w:rsid w:val="0077642A"/>
    <w:rsid w:val="00780628"/>
    <w:rsid w:val="00781570"/>
    <w:rsid w:val="00782B42"/>
    <w:rsid w:val="00783BB6"/>
    <w:rsid w:val="0078465C"/>
    <w:rsid w:val="007851A7"/>
    <w:rsid w:val="0078676E"/>
    <w:rsid w:val="00787E54"/>
    <w:rsid w:val="00790722"/>
    <w:rsid w:val="00791440"/>
    <w:rsid w:val="007923E0"/>
    <w:rsid w:val="00793331"/>
    <w:rsid w:val="0079461C"/>
    <w:rsid w:val="0079466D"/>
    <w:rsid w:val="007A0D92"/>
    <w:rsid w:val="007A0E07"/>
    <w:rsid w:val="007B241C"/>
    <w:rsid w:val="007B35F2"/>
    <w:rsid w:val="007B44ED"/>
    <w:rsid w:val="007C0DFE"/>
    <w:rsid w:val="007C1E6A"/>
    <w:rsid w:val="007C1F73"/>
    <w:rsid w:val="007C1F92"/>
    <w:rsid w:val="007C5D23"/>
    <w:rsid w:val="007C60A8"/>
    <w:rsid w:val="007C6C91"/>
    <w:rsid w:val="007C6DB9"/>
    <w:rsid w:val="007D049E"/>
    <w:rsid w:val="007D0B64"/>
    <w:rsid w:val="007D0E01"/>
    <w:rsid w:val="007D5568"/>
    <w:rsid w:val="007D63D0"/>
    <w:rsid w:val="007D68FB"/>
    <w:rsid w:val="007D6AC7"/>
    <w:rsid w:val="007D6F11"/>
    <w:rsid w:val="007E1E22"/>
    <w:rsid w:val="007E380A"/>
    <w:rsid w:val="007E566C"/>
    <w:rsid w:val="007E56E5"/>
    <w:rsid w:val="007E5CFA"/>
    <w:rsid w:val="007E66C6"/>
    <w:rsid w:val="007E6DB4"/>
    <w:rsid w:val="007F06CE"/>
    <w:rsid w:val="007F16F0"/>
    <w:rsid w:val="007F411B"/>
    <w:rsid w:val="007F42CC"/>
    <w:rsid w:val="00800E23"/>
    <w:rsid w:val="00806307"/>
    <w:rsid w:val="00807B96"/>
    <w:rsid w:val="00810090"/>
    <w:rsid w:val="00810D89"/>
    <w:rsid w:val="00813E58"/>
    <w:rsid w:val="008168D9"/>
    <w:rsid w:val="0082760F"/>
    <w:rsid w:val="00827D45"/>
    <w:rsid w:val="00831504"/>
    <w:rsid w:val="00831A6C"/>
    <w:rsid w:val="00832082"/>
    <w:rsid w:val="008330A0"/>
    <w:rsid w:val="008333FB"/>
    <w:rsid w:val="008356A7"/>
    <w:rsid w:val="00837444"/>
    <w:rsid w:val="0084440A"/>
    <w:rsid w:val="00851F20"/>
    <w:rsid w:val="00854FBB"/>
    <w:rsid w:val="00855B04"/>
    <w:rsid w:val="00856ADC"/>
    <w:rsid w:val="008571B5"/>
    <w:rsid w:val="008615D5"/>
    <w:rsid w:val="00861999"/>
    <w:rsid w:val="00862770"/>
    <w:rsid w:val="00864C9E"/>
    <w:rsid w:val="0086634B"/>
    <w:rsid w:val="008663CE"/>
    <w:rsid w:val="0087045C"/>
    <w:rsid w:val="008732E5"/>
    <w:rsid w:val="00873A52"/>
    <w:rsid w:val="00873D7E"/>
    <w:rsid w:val="00874BC1"/>
    <w:rsid w:val="00875AAA"/>
    <w:rsid w:val="00876098"/>
    <w:rsid w:val="00877138"/>
    <w:rsid w:val="00880AC2"/>
    <w:rsid w:val="0088199D"/>
    <w:rsid w:val="00882AA6"/>
    <w:rsid w:val="0088549D"/>
    <w:rsid w:val="00890F9E"/>
    <w:rsid w:val="00892A14"/>
    <w:rsid w:val="00893176"/>
    <w:rsid w:val="00894383"/>
    <w:rsid w:val="00895F24"/>
    <w:rsid w:val="008965EE"/>
    <w:rsid w:val="00897833"/>
    <w:rsid w:val="008A4076"/>
    <w:rsid w:val="008A55DF"/>
    <w:rsid w:val="008B2FD7"/>
    <w:rsid w:val="008B3100"/>
    <w:rsid w:val="008B4569"/>
    <w:rsid w:val="008B7492"/>
    <w:rsid w:val="008B7CF1"/>
    <w:rsid w:val="008C0AE3"/>
    <w:rsid w:val="008C78DB"/>
    <w:rsid w:val="008D51DA"/>
    <w:rsid w:val="008D5C27"/>
    <w:rsid w:val="008E2DB8"/>
    <w:rsid w:val="008F0014"/>
    <w:rsid w:val="008F1928"/>
    <w:rsid w:val="008F231D"/>
    <w:rsid w:val="008F2A5E"/>
    <w:rsid w:val="008F5B08"/>
    <w:rsid w:val="008F658A"/>
    <w:rsid w:val="008F6FEC"/>
    <w:rsid w:val="008F71A0"/>
    <w:rsid w:val="008F7626"/>
    <w:rsid w:val="00900B4B"/>
    <w:rsid w:val="0090360E"/>
    <w:rsid w:val="00903C94"/>
    <w:rsid w:val="00905C4B"/>
    <w:rsid w:val="009063E6"/>
    <w:rsid w:val="00906D13"/>
    <w:rsid w:val="0091076B"/>
    <w:rsid w:val="009123E9"/>
    <w:rsid w:val="00913423"/>
    <w:rsid w:val="00913C52"/>
    <w:rsid w:val="00917832"/>
    <w:rsid w:val="0092054B"/>
    <w:rsid w:val="009205CA"/>
    <w:rsid w:val="009218E5"/>
    <w:rsid w:val="00921F85"/>
    <w:rsid w:val="00922C36"/>
    <w:rsid w:val="00922FD7"/>
    <w:rsid w:val="009235BE"/>
    <w:rsid w:val="00923CA6"/>
    <w:rsid w:val="00925490"/>
    <w:rsid w:val="00935C29"/>
    <w:rsid w:val="00936549"/>
    <w:rsid w:val="00937F39"/>
    <w:rsid w:val="0094053D"/>
    <w:rsid w:val="009416EF"/>
    <w:rsid w:val="009434B2"/>
    <w:rsid w:val="00944627"/>
    <w:rsid w:val="00951A1C"/>
    <w:rsid w:val="009529D7"/>
    <w:rsid w:val="00952A7A"/>
    <w:rsid w:val="00953F87"/>
    <w:rsid w:val="00954308"/>
    <w:rsid w:val="00955347"/>
    <w:rsid w:val="00957117"/>
    <w:rsid w:val="00961C27"/>
    <w:rsid w:val="00962410"/>
    <w:rsid w:val="0096482C"/>
    <w:rsid w:val="0097022D"/>
    <w:rsid w:val="009736AF"/>
    <w:rsid w:val="0097438A"/>
    <w:rsid w:val="009759B9"/>
    <w:rsid w:val="00977848"/>
    <w:rsid w:val="00982B0F"/>
    <w:rsid w:val="009910CD"/>
    <w:rsid w:val="00992330"/>
    <w:rsid w:val="009931AB"/>
    <w:rsid w:val="009933B8"/>
    <w:rsid w:val="009937A9"/>
    <w:rsid w:val="009960F4"/>
    <w:rsid w:val="009965D5"/>
    <w:rsid w:val="00996DF1"/>
    <w:rsid w:val="009A32C2"/>
    <w:rsid w:val="009A54DE"/>
    <w:rsid w:val="009A6C41"/>
    <w:rsid w:val="009A7546"/>
    <w:rsid w:val="009B02AB"/>
    <w:rsid w:val="009B147B"/>
    <w:rsid w:val="009B3273"/>
    <w:rsid w:val="009B39E3"/>
    <w:rsid w:val="009B3D58"/>
    <w:rsid w:val="009B48C2"/>
    <w:rsid w:val="009B6D15"/>
    <w:rsid w:val="009B73DF"/>
    <w:rsid w:val="009C08E1"/>
    <w:rsid w:val="009C0F01"/>
    <w:rsid w:val="009C31CE"/>
    <w:rsid w:val="009C519C"/>
    <w:rsid w:val="009C5B7F"/>
    <w:rsid w:val="009C7BA6"/>
    <w:rsid w:val="009D00AA"/>
    <w:rsid w:val="009D1099"/>
    <w:rsid w:val="009D1127"/>
    <w:rsid w:val="009D1FA3"/>
    <w:rsid w:val="009D28B0"/>
    <w:rsid w:val="009D34AD"/>
    <w:rsid w:val="009D79EB"/>
    <w:rsid w:val="009E0622"/>
    <w:rsid w:val="009E431D"/>
    <w:rsid w:val="009E6BC8"/>
    <w:rsid w:val="009E6DD5"/>
    <w:rsid w:val="009F0A41"/>
    <w:rsid w:val="009F264A"/>
    <w:rsid w:val="009F36C7"/>
    <w:rsid w:val="009F48F7"/>
    <w:rsid w:val="009F5228"/>
    <w:rsid w:val="009F60AE"/>
    <w:rsid w:val="009F720D"/>
    <w:rsid w:val="009F7483"/>
    <w:rsid w:val="009F7FE4"/>
    <w:rsid w:val="00A00405"/>
    <w:rsid w:val="00A052B6"/>
    <w:rsid w:val="00A06725"/>
    <w:rsid w:val="00A06787"/>
    <w:rsid w:val="00A07CFE"/>
    <w:rsid w:val="00A10724"/>
    <w:rsid w:val="00A10769"/>
    <w:rsid w:val="00A11038"/>
    <w:rsid w:val="00A118A2"/>
    <w:rsid w:val="00A13304"/>
    <w:rsid w:val="00A13319"/>
    <w:rsid w:val="00A135D2"/>
    <w:rsid w:val="00A13826"/>
    <w:rsid w:val="00A157B3"/>
    <w:rsid w:val="00A210E1"/>
    <w:rsid w:val="00A21B88"/>
    <w:rsid w:val="00A235B0"/>
    <w:rsid w:val="00A2369A"/>
    <w:rsid w:val="00A23814"/>
    <w:rsid w:val="00A2611E"/>
    <w:rsid w:val="00A30CBC"/>
    <w:rsid w:val="00A31330"/>
    <w:rsid w:val="00A32097"/>
    <w:rsid w:val="00A33FEA"/>
    <w:rsid w:val="00A34B18"/>
    <w:rsid w:val="00A353CD"/>
    <w:rsid w:val="00A35A77"/>
    <w:rsid w:val="00A44117"/>
    <w:rsid w:val="00A45D3B"/>
    <w:rsid w:val="00A47A3F"/>
    <w:rsid w:val="00A5080C"/>
    <w:rsid w:val="00A51E68"/>
    <w:rsid w:val="00A52471"/>
    <w:rsid w:val="00A541B2"/>
    <w:rsid w:val="00A55D00"/>
    <w:rsid w:val="00A60388"/>
    <w:rsid w:val="00A61808"/>
    <w:rsid w:val="00A627AC"/>
    <w:rsid w:val="00A6342F"/>
    <w:rsid w:val="00A63694"/>
    <w:rsid w:val="00A63777"/>
    <w:rsid w:val="00A66E97"/>
    <w:rsid w:val="00A71AAA"/>
    <w:rsid w:val="00A74243"/>
    <w:rsid w:val="00A81845"/>
    <w:rsid w:val="00A83694"/>
    <w:rsid w:val="00A842F9"/>
    <w:rsid w:val="00A84C5A"/>
    <w:rsid w:val="00A85C7A"/>
    <w:rsid w:val="00A915CA"/>
    <w:rsid w:val="00A929E3"/>
    <w:rsid w:val="00A9373D"/>
    <w:rsid w:val="00A94A5E"/>
    <w:rsid w:val="00A9558B"/>
    <w:rsid w:val="00A97BC8"/>
    <w:rsid w:val="00A97FB2"/>
    <w:rsid w:val="00AA2D90"/>
    <w:rsid w:val="00AA6617"/>
    <w:rsid w:val="00AA6976"/>
    <w:rsid w:val="00AA6D52"/>
    <w:rsid w:val="00AA7822"/>
    <w:rsid w:val="00AB06F6"/>
    <w:rsid w:val="00AB199A"/>
    <w:rsid w:val="00AB1AC8"/>
    <w:rsid w:val="00AB2F61"/>
    <w:rsid w:val="00AB330C"/>
    <w:rsid w:val="00AB38C6"/>
    <w:rsid w:val="00AB3B19"/>
    <w:rsid w:val="00AB5F29"/>
    <w:rsid w:val="00AC0198"/>
    <w:rsid w:val="00AC09CD"/>
    <w:rsid w:val="00AC1DC7"/>
    <w:rsid w:val="00AC1E67"/>
    <w:rsid w:val="00AC21A3"/>
    <w:rsid w:val="00AC5A39"/>
    <w:rsid w:val="00AC604A"/>
    <w:rsid w:val="00AC70AE"/>
    <w:rsid w:val="00AC7404"/>
    <w:rsid w:val="00AD22B1"/>
    <w:rsid w:val="00AD3A4C"/>
    <w:rsid w:val="00AD7197"/>
    <w:rsid w:val="00AE065B"/>
    <w:rsid w:val="00AE3983"/>
    <w:rsid w:val="00AE55BE"/>
    <w:rsid w:val="00AE5B56"/>
    <w:rsid w:val="00AE7A6F"/>
    <w:rsid w:val="00B0058E"/>
    <w:rsid w:val="00B01FE4"/>
    <w:rsid w:val="00B02781"/>
    <w:rsid w:val="00B02FB8"/>
    <w:rsid w:val="00B03271"/>
    <w:rsid w:val="00B03DDE"/>
    <w:rsid w:val="00B044D1"/>
    <w:rsid w:val="00B05322"/>
    <w:rsid w:val="00B107E2"/>
    <w:rsid w:val="00B12D6F"/>
    <w:rsid w:val="00B130AB"/>
    <w:rsid w:val="00B13615"/>
    <w:rsid w:val="00B1500E"/>
    <w:rsid w:val="00B157DC"/>
    <w:rsid w:val="00B21E53"/>
    <w:rsid w:val="00B2221C"/>
    <w:rsid w:val="00B25F60"/>
    <w:rsid w:val="00B36C59"/>
    <w:rsid w:val="00B3785D"/>
    <w:rsid w:val="00B421B2"/>
    <w:rsid w:val="00B42464"/>
    <w:rsid w:val="00B43CB3"/>
    <w:rsid w:val="00B46EE6"/>
    <w:rsid w:val="00B47F77"/>
    <w:rsid w:val="00B51B23"/>
    <w:rsid w:val="00B5313C"/>
    <w:rsid w:val="00B53695"/>
    <w:rsid w:val="00B54AB6"/>
    <w:rsid w:val="00B55640"/>
    <w:rsid w:val="00B62D8B"/>
    <w:rsid w:val="00B63EA3"/>
    <w:rsid w:val="00B64B7D"/>
    <w:rsid w:val="00B65447"/>
    <w:rsid w:val="00B66CD3"/>
    <w:rsid w:val="00B672F5"/>
    <w:rsid w:val="00B710A3"/>
    <w:rsid w:val="00B72EDC"/>
    <w:rsid w:val="00B73440"/>
    <w:rsid w:val="00B744E2"/>
    <w:rsid w:val="00B76711"/>
    <w:rsid w:val="00B82638"/>
    <w:rsid w:val="00B83327"/>
    <w:rsid w:val="00B83D8E"/>
    <w:rsid w:val="00B96145"/>
    <w:rsid w:val="00BA04C2"/>
    <w:rsid w:val="00BA0E7A"/>
    <w:rsid w:val="00BA200A"/>
    <w:rsid w:val="00BA2031"/>
    <w:rsid w:val="00BA6DB4"/>
    <w:rsid w:val="00BB072E"/>
    <w:rsid w:val="00BB37E7"/>
    <w:rsid w:val="00BB4C87"/>
    <w:rsid w:val="00BB672F"/>
    <w:rsid w:val="00BB71ED"/>
    <w:rsid w:val="00BC1275"/>
    <w:rsid w:val="00BC1809"/>
    <w:rsid w:val="00BC18CF"/>
    <w:rsid w:val="00BC2D64"/>
    <w:rsid w:val="00BC3C13"/>
    <w:rsid w:val="00BC6FE8"/>
    <w:rsid w:val="00BC79C6"/>
    <w:rsid w:val="00BD078A"/>
    <w:rsid w:val="00BD2979"/>
    <w:rsid w:val="00BD5200"/>
    <w:rsid w:val="00BD5CF0"/>
    <w:rsid w:val="00BD6891"/>
    <w:rsid w:val="00BD7563"/>
    <w:rsid w:val="00BE1181"/>
    <w:rsid w:val="00BE11BE"/>
    <w:rsid w:val="00BE2F39"/>
    <w:rsid w:val="00BE3EBB"/>
    <w:rsid w:val="00BE584B"/>
    <w:rsid w:val="00BE787B"/>
    <w:rsid w:val="00BF1528"/>
    <w:rsid w:val="00BF18C7"/>
    <w:rsid w:val="00BF2F2E"/>
    <w:rsid w:val="00BF4B39"/>
    <w:rsid w:val="00BF6C62"/>
    <w:rsid w:val="00BF6DDA"/>
    <w:rsid w:val="00BF7208"/>
    <w:rsid w:val="00BF750F"/>
    <w:rsid w:val="00C01BCB"/>
    <w:rsid w:val="00C01C59"/>
    <w:rsid w:val="00C01DD9"/>
    <w:rsid w:val="00C06C7A"/>
    <w:rsid w:val="00C07A4C"/>
    <w:rsid w:val="00C103C9"/>
    <w:rsid w:val="00C1196A"/>
    <w:rsid w:val="00C153B8"/>
    <w:rsid w:val="00C16357"/>
    <w:rsid w:val="00C1661F"/>
    <w:rsid w:val="00C17632"/>
    <w:rsid w:val="00C21515"/>
    <w:rsid w:val="00C23B6F"/>
    <w:rsid w:val="00C2571A"/>
    <w:rsid w:val="00C265A0"/>
    <w:rsid w:val="00C26900"/>
    <w:rsid w:val="00C278CC"/>
    <w:rsid w:val="00C31D2E"/>
    <w:rsid w:val="00C35008"/>
    <w:rsid w:val="00C352D1"/>
    <w:rsid w:val="00C415A1"/>
    <w:rsid w:val="00C436AE"/>
    <w:rsid w:val="00C43994"/>
    <w:rsid w:val="00C4426B"/>
    <w:rsid w:val="00C45E5C"/>
    <w:rsid w:val="00C4755D"/>
    <w:rsid w:val="00C50D4E"/>
    <w:rsid w:val="00C51517"/>
    <w:rsid w:val="00C532A3"/>
    <w:rsid w:val="00C62611"/>
    <w:rsid w:val="00C632D6"/>
    <w:rsid w:val="00C642C5"/>
    <w:rsid w:val="00C644A4"/>
    <w:rsid w:val="00C648AB"/>
    <w:rsid w:val="00C6549A"/>
    <w:rsid w:val="00C65DA0"/>
    <w:rsid w:val="00C706D1"/>
    <w:rsid w:val="00C74B5A"/>
    <w:rsid w:val="00C7660B"/>
    <w:rsid w:val="00C82E26"/>
    <w:rsid w:val="00C8594A"/>
    <w:rsid w:val="00C85AFB"/>
    <w:rsid w:val="00C8728C"/>
    <w:rsid w:val="00C92973"/>
    <w:rsid w:val="00C92FB4"/>
    <w:rsid w:val="00C93CAC"/>
    <w:rsid w:val="00C94660"/>
    <w:rsid w:val="00C95C21"/>
    <w:rsid w:val="00CA2776"/>
    <w:rsid w:val="00CA3C9F"/>
    <w:rsid w:val="00CA67E7"/>
    <w:rsid w:val="00CA740F"/>
    <w:rsid w:val="00CA7468"/>
    <w:rsid w:val="00CB0F78"/>
    <w:rsid w:val="00CB1625"/>
    <w:rsid w:val="00CB36CC"/>
    <w:rsid w:val="00CB3760"/>
    <w:rsid w:val="00CB58C4"/>
    <w:rsid w:val="00CB70C4"/>
    <w:rsid w:val="00CB783F"/>
    <w:rsid w:val="00CC0B75"/>
    <w:rsid w:val="00CC131A"/>
    <w:rsid w:val="00CC1451"/>
    <w:rsid w:val="00CC2FBD"/>
    <w:rsid w:val="00CC3874"/>
    <w:rsid w:val="00CC38BB"/>
    <w:rsid w:val="00CC6595"/>
    <w:rsid w:val="00CD066D"/>
    <w:rsid w:val="00CD48A8"/>
    <w:rsid w:val="00CD6670"/>
    <w:rsid w:val="00CD7EF6"/>
    <w:rsid w:val="00CE2356"/>
    <w:rsid w:val="00CE265B"/>
    <w:rsid w:val="00CE60A2"/>
    <w:rsid w:val="00CE648D"/>
    <w:rsid w:val="00CF1E54"/>
    <w:rsid w:val="00CF413A"/>
    <w:rsid w:val="00CF4EF9"/>
    <w:rsid w:val="00CF5ACC"/>
    <w:rsid w:val="00D00690"/>
    <w:rsid w:val="00D038D6"/>
    <w:rsid w:val="00D0452E"/>
    <w:rsid w:val="00D051BF"/>
    <w:rsid w:val="00D056BE"/>
    <w:rsid w:val="00D105D4"/>
    <w:rsid w:val="00D110D5"/>
    <w:rsid w:val="00D11357"/>
    <w:rsid w:val="00D11418"/>
    <w:rsid w:val="00D11A09"/>
    <w:rsid w:val="00D134C3"/>
    <w:rsid w:val="00D1375B"/>
    <w:rsid w:val="00D1564F"/>
    <w:rsid w:val="00D16519"/>
    <w:rsid w:val="00D17138"/>
    <w:rsid w:val="00D20454"/>
    <w:rsid w:val="00D2148E"/>
    <w:rsid w:val="00D22765"/>
    <w:rsid w:val="00D241F1"/>
    <w:rsid w:val="00D264E4"/>
    <w:rsid w:val="00D26F47"/>
    <w:rsid w:val="00D27831"/>
    <w:rsid w:val="00D30957"/>
    <w:rsid w:val="00D32D05"/>
    <w:rsid w:val="00D33B10"/>
    <w:rsid w:val="00D37EFC"/>
    <w:rsid w:val="00D40D4F"/>
    <w:rsid w:val="00D424DC"/>
    <w:rsid w:val="00D428DC"/>
    <w:rsid w:val="00D43703"/>
    <w:rsid w:val="00D44E4C"/>
    <w:rsid w:val="00D4540C"/>
    <w:rsid w:val="00D51CB4"/>
    <w:rsid w:val="00D52E05"/>
    <w:rsid w:val="00D54012"/>
    <w:rsid w:val="00D55613"/>
    <w:rsid w:val="00D56196"/>
    <w:rsid w:val="00D60B57"/>
    <w:rsid w:val="00D65302"/>
    <w:rsid w:val="00D66CE3"/>
    <w:rsid w:val="00D6793F"/>
    <w:rsid w:val="00D74EC7"/>
    <w:rsid w:val="00D8015C"/>
    <w:rsid w:val="00D80444"/>
    <w:rsid w:val="00D8204A"/>
    <w:rsid w:val="00D87067"/>
    <w:rsid w:val="00D900D4"/>
    <w:rsid w:val="00D90FE0"/>
    <w:rsid w:val="00D92B75"/>
    <w:rsid w:val="00D92E02"/>
    <w:rsid w:val="00D95659"/>
    <w:rsid w:val="00D95F6B"/>
    <w:rsid w:val="00D96A9E"/>
    <w:rsid w:val="00D970B7"/>
    <w:rsid w:val="00D97C49"/>
    <w:rsid w:val="00DA0648"/>
    <w:rsid w:val="00DA0CC6"/>
    <w:rsid w:val="00DA2BE5"/>
    <w:rsid w:val="00DA75FA"/>
    <w:rsid w:val="00DB0265"/>
    <w:rsid w:val="00DB139F"/>
    <w:rsid w:val="00DB3D91"/>
    <w:rsid w:val="00DB6601"/>
    <w:rsid w:val="00DC00B8"/>
    <w:rsid w:val="00DC2655"/>
    <w:rsid w:val="00DC341D"/>
    <w:rsid w:val="00DC5E5A"/>
    <w:rsid w:val="00DC7F6E"/>
    <w:rsid w:val="00DD04E4"/>
    <w:rsid w:val="00DD067A"/>
    <w:rsid w:val="00DD06C0"/>
    <w:rsid w:val="00DD0A47"/>
    <w:rsid w:val="00DD1D0D"/>
    <w:rsid w:val="00DD2D1E"/>
    <w:rsid w:val="00DD38A9"/>
    <w:rsid w:val="00DD49FD"/>
    <w:rsid w:val="00DD5653"/>
    <w:rsid w:val="00DE05AC"/>
    <w:rsid w:val="00DE4433"/>
    <w:rsid w:val="00DE4484"/>
    <w:rsid w:val="00DE49ED"/>
    <w:rsid w:val="00DE4BAF"/>
    <w:rsid w:val="00DE6006"/>
    <w:rsid w:val="00DE6E6D"/>
    <w:rsid w:val="00DE7686"/>
    <w:rsid w:val="00DF1DE3"/>
    <w:rsid w:val="00DF3F53"/>
    <w:rsid w:val="00E0113A"/>
    <w:rsid w:val="00E03BF8"/>
    <w:rsid w:val="00E04875"/>
    <w:rsid w:val="00E055ED"/>
    <w:rsid w:val="00E05FD0"/>
    <w:rsid w:val="00E10362"/>
    <w:rsid w:val="00E11559"/>
    <w:rsid w:val="00E1158D"/>
    <w:rsid w:val="00E12448"/>
    <w:rsid w:val="00E16F13"/>
    <w:rsid w:val="00E177F4"/>
    <w:rsid w:val="00E17DA2"/>
    <w:rsid w:val="00E2149E"/>
    <w:rsid w:val="00E234D6"/>
    <w:rsid w:val="00E26810"/>
    <w:rsid w:val="00E301A0"/>
    <w:rsid w:val="00E317D1"/>
    <w:rsid w:val="00E34DD1"/>
    <w:rsid w:val="00E3531F"/>
    <w:rsid w:val="00E37BC6"/>
    <w:rsid w:val="00E421E2"/>
    <w:rsid w:val="00E43496"/>
    <w:rsid w:val="00E43524"/>
    <w:rsid w:val="00E44794"/>
    <w:rsid w:val="00E4703E"/>
    <w:rsid w:val="00E50C5D"/>
    <w:rsid w:val="00E513ED"/>
    <w:rsid w:val="00E515E9"/>
    <w:rsid w:val="00E52AD2"/>
    <w:rsid w:val="00E544F7"/>
    <w:rsid w:val="00E54B5A"/>
    <w:rsid w:val="00E552B0"/>
    <w:rsid w:val="00E553DE"/>
    <w:rsid w:val="00E559AC"/>
    <w:rsid w:val="00E563C3"/>
    <w:rsid w:val="00E568CE"/>
    <w:rsid w:val="00E57063"/>
    <w:rsid w:val="00E57305"/>
    <w:rsid w:val="00E60DD3"/>
    <w:rsid w:val="00E6110F"/>
    <w:rsid w:val="00E62693"/>
    <w:rsid w:val="00E6365C"/>
    <w:rsid w:val="00E64B6E"/>
    <w:rsid w:val="00E65C10"/>
    <w:rsid w:val="00E67B50"/>
    <w:rsid w:val="00E72176"/>
    <w:rsid w:val="00E72A3A"/>
    <w:rsid w:val="00E752EA"/>
    <w:rsid w:val="00E758DE"/>
    <w:rsid w:val="00E81BFB"/>
    <w:rsid w:val="00E8254B"/>
    <w:rsid w:val="00E84778"/>
    <w:rsid w:val="00E90214"/>
    <w:rsid w:val="00E90B9A"/>
    <w:rsid w:val="00E90DA4"/>
    <w:rsid w:val="00E911AD"/>
    <w:rsid w:val="00E92041"/>
    <w:rsid w:val="00E92BA7"/>
    <w:rsid w:val="00E93D86"/>
    <w:rsid w:val="00E97AC8"/>
    <w:rsid w:val="00EA26B0"/>
    <w:rsid w:val="00EA3667"/>
    <w:rsid w:val="00EA37CD"/>
    <w:rsid w:val="00EA3BB9"/>
    <w:rsid w:val="00EA47DA"/>
    <w:rsid w:val="00EA4AA0"/>
    <w:rsid w:val="00EA5F29"/>
    <w:rsid w:val="00EB5C8E"/>
    <w:rsid w:val="00EB6461"/>
    <w:rsid w:val="00EB7CC9"/>
    <w:rsid w:val="00EC26D8"/>
    <w:rsid w:val="00EC7512"/>
    <w:rsid w:val="00ED116C"/>
    <w:rsid w:val="00ED17A6"/>
    <w:rsid w:val="00ED2EF4"/>
    <w:rsid w:val="00ED334F"/>
    <w:rsid w:val="00ED377F"/>
    <w:rsid w:val="00ED4980"/>
    <w:rsid w:val="00EE4575"/>
    <w:rsid w:val="00EE5A9E"/>
    <w:rsid w:val="00EE6C7A"/>
    <w:rsid w:val="00EE7206"/>
    <w:rsid w:val="00EE789B"/>
    <w:rsid w:val="00EF0B61"/>
    <w:rsid w:val="00EF2897"/>
    <w:rsid w:val="00EF482E"/>
    <w:rsid w:val="00EF73AC"/>
    <w:rsid w:val="00EF78D6"/>
    <w:rsid w:val="00F001DA"/>
    <w:rsid w:val="00F00A55"/>
    <w:rsid w:val="00F023E2"/>
    <w:rsid w:val="00F02DA5"/>
    <w:rsid w:val="00F02EB3"/>
    <w:rsid w:val="00F041BF"/>
    <w:rsid w:val="00F05C6D"/>
    <w:rsid w:val="00F07751"/>
    <w:rsid w:val="00F212F4"/>
    <w:rsid w:val="00F22468"/>
    <w:rsid w:val="00F25C68"/>
    <w:rsid w:val="00F30BAC"/>
    <w:rsid w:val="00F31FBC"/>
    <w:rsid w:val="00F35467"/>
    <w:rsid w:val="00F358A4"/>
    <w:rsid w:val="00F44C59"/>
    <w:rsid w:val="00F46BF1"/>
    <w:rsid w:val="00F4786E"/>
    <w:rsid w:val="00F47F9D"/>
    <w:rsid w:val="00F500A2"/>
    <w:rsid w:val="00F50B5D"/>
    <w:rsid w:val="00F51508"/>
    <w:rsid w:val="00F520A0"/>
    <w:rsid w:val="00F56221"/>
    <w:rsid w:val="00F57835"/>
    <w:rsid w:val="00F6157A"/>
    <w:rsid w:val="00F66F2A"/>
    <w:rsid w:val="00F71A6B"/>
    <w:rsid w:val="00F72AA0"/>
    <w:rsid w:val="00F72F7E"/>
    <w:rsid w:val="00F73FF7"/>
    <w:rsid w:val="00F74AFA"/>
    <w:rsid w:val="00F759B1"/>
    <w:rsid w:val="00F77B84"/>
    <w:rsid w:val="00F81518"/>
    <w:rsid w:val="00F818A9"/>
    <w:rsid w:val="00F852FF"/>
    <w:rsid w:val="00F85686"/>
    <w:rsid w:val="00F85A5A"/>
    <w:rsid w:val="00F9139E"/>
    <w:rsid w:val="00F92C01"/>
    <w:rsid w:val="00F96738"/>
    <w:rsid w:val="00F96EFA"/>
    <w:rsid w:val="00F97C68"/>
    <w:rsid w:val="00FA049B"/>
    <w:rsid w:val="00FA1379"/>
    <w:rsid w:val="00FA1B7B"/>
    <w:rsid w:val="00FA23FB"/>
    <w:rsid w:val="00FA31EB"/>
    <w:rsid w:val="00FA665C"/>
    <w:rsid w:val="00FA771C"/>
    <w:rsid w:val="00FB1661"/>
    <w:rsid w:val="00FB4A70"/>
    <w:rsid w:val="00FB5664"/>
    <w:rsid w:val="00FB5864"/>
    <w:rsid w:val="00FB5B68"/>
    <w:rsid w:val="00FB5C9C"/>
    <w:rsid w:val="00FC04ED"/>
    <w:rsid w:val="00FC0A8C"/>
    <w:rsid w:val="00FC0F23"/>
    <w:rsid w:val="00FC3E8F"/>
    <w:rsid w:val="00FC49B6"/>
    <w:rsid w:val="00FC4CEF"/>
    <w:rsid w:val="00FC5961"/>
    <w:rsid w:val="00FD1142"/>
    <w:rsid w:val="00FD19A8"/>
    <w:rsid w:val="00FD1DD3"/>
    <w:rsid w:val="00FD69E9"/>
    <w:rsid w:val="00FE0D71"/>
    <w:rsid w:val="00FE17EF"/>
    <w:rsid w:val="00FE2E27"/>
    <w:rsid w:val="00FE70C1"/>
    <w:rsid w:val="00FF1A2E"/>
    <w:rsid w:val="00FF3A28"/>
    <w:rsid w:val="00FF4662"/>
    <w:rsid w:val="00FF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D991F0"/>
  <w15:docId w15:val="{1042E750-45C8-48CA-8431-6991488D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452E"/>
    <w:pPr>
      <w:spacing w:after="240"/>
    </w:pPr>
    <w:rPr>
      <w:rFonts w:ascii="Times New Roman" w:hAnsi="Times New Roman" w:cs="Times New Roman"/>
      <w:sz w:val="24"/>
      <w:szCs w:val="24"/>
    </w:rPr>
  </w:style>
  <w:style w:type="paragraph" w:styleId="Heading1">
    <w:name w:val="heading 1"/>
    <w:basedOn w:val="Normal"/>
    <w:uiPriority w:val="1"/>
    <w:qFormat/>
    <w:rsid w:val="00D20454"/>
    <w:pPr>
      <w:tabs>
        <w:tab w:val="left" w:pos="2340"/>
      </w:tabs>
      <w:spacing w:after="200"/>
      <w:outlineLvl w:val="0"/>
    </w:pPr>
    <w:rPr>
      <w:rFonts w:eastAsia="Times New Roman"/>
      <w:b/>
      <w:bCs/>
      <w:color w:val="093865"/>
      <w:spacing w:val="-1"/>
      <w:sz w:val="32"/>
      <w:szCs w:val="32"/>
      <w:u w:val="single"/>
    </w:rPr>
  </w:style>
  <w:style w:type="paragraph" w:styleId="Heading2">
    <w:name w:val="heading 2"/>
    <w:basedOn w:val="Normal"/>
    <w:uiPriority w:val="1"/>
    <w:qFormat/>
    <w:rsid w:val="00D20454"/>
    <w:pPr>
      <w:spacing w:before="69" w:after="120"/>
      <w:outlineLvl w:val="1"/>
    </w:pPr>
    <w:rPr>
      <w:rFonts w:eastAsia="Times New Roman"/>
      <w:b/>
      <w:bCs/>
      <w:iCs/>
      <w:color w:val="093865"/>
      <w:sz w:val="26"/>
      <w:szCs w:val="26"/>
    </w:rPr>
  </w:style>
  <w:style w:type="paragraph" w:styleId="Heading3">
    <w:name w:val="heading 3"/>
    <w:basedOn w:val="Normal"/>
    <w:next w:val="Normal"/>
    <w:link w:val="Heading3Char"/>
    <w:uiPriority w:val="9"/>
    <w:unhideWhenUsed/>
    <w:qFormat/>
    <w:rsid w:val="00CA7468"/>
    <w:pPr>
      <w:keepNext/>
      <w:keepLines/>
      <w:spacing w:before="40" w:after="0"/>
      <w:outlineLvl w:val="2"/>
    </w:pPr>
    <w:rPr>
      <w:rFonts w:eastAsiaTheme="majorEastAsia"/>
      <w:b/>
      <w:i/>
      <w:color w:val="243F60" w:themeColor="accent1" w:themeShade="7F"/>
    </w:rPr>
  </w:style>
  <w:style w:type="paragraph" w:styleId="Heading4">
    <w:name w:val="heading 4"/>
    <w:basedOn w:val="Normal"/>
    <w:next w:val="Normal"/>
    <w:link w:val="Heading4Char"/>
    <w:uiPriority w:val="9"/>
    <w:unhideWhenUsed/>
    <w:qFormat/>
    <w:rsid w:val="00923CA6"/>
    <w:pPr>
      <w:spacing w:after="0"/>
      <w:outlineLvl w:val="3"/>
    </w:pPr>
    <w:rPr>
      <w:b/>
      <w:color w:val="093B6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360"/>
    </w:pPr>
    <w:rPr>
      <w:rFonts w:eastAsia="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128B"/>
    <w:pPr>
      <w:tabs>
        <w:tab w:val="center" w:pos="4320"/>
        <w:tab w:val="right" w:pos="8640"/>
      </w:tabs>
    </w:pPr>
  </w:style>
  <w:style w:type="character" w:customStyle="1" w:styleId="HeaderChar">
    <w:name w:val="Header Char"/>
    <w:basedOn w:val="DefaultParagraphFont"/>
    <w:link w:val="Header"/>
    <w:uiPriority w:val="99"/>
    <w:rsid w:val="000C128B"/>
  </w:style>
  <w:style w:type="paragraph" w:styleId="Footer">
    <w:name w:val="footer"/>
    <w:basedOn w:val="Normal"/>
    <w:link w:val="FooterChar"/>
    <w:uiPriority w:val="99"/>
    <w:unhideWhenUsed/>
    <w:rsid w:val="000C128B"/>
    <w:pPr>
      <w:tabs>
        <w:tab w:val="center" w:pos="4320"/>
        <w:tab w:val="right" w:pos="8640"/>
      </w:tabs>
    </w:pPr>
  </w:style>
  <w:style w:type="character" w:customStyle="1" w:styleId="FooterChar">
    <w:name w:val="Footer Char"/>
    <w:basedOn w:val="DefaultParagraphFont"/>
    <w:link w:val="Footer"/>
    <w:uiPriority w:val="99"/>
    <w:rsid w:val="000C128B"/>
  </w:style>
  <w:style w:type="character" w:styleId="Hyperlink">
    <w:name w:val="Hyperlink"/>
    <w:basedOn w:val="DefaultParagraphFont"/>
    <w:uiPriority w:val="99"/>
    <w:unhideWhenUsed/>
    <w:rsid w:val="0088549D"/>
    <w:rPr>
      <w:color w:val="0000FF" w:themeColor="hyperlink"/>
      <w:u w:val="single"/>
    </w:rPr>
  </w:style>
  <w:style w:type="character" w:styleId="PageNumber">
    <w:name w:val="page number"/>
    <w:basedOn w:val="DefaultParagraphFont"/>
    <w:uiPriority w:val="99"/>
    <w:semiHidden/>
    <w:unhideWhenUsed/>
    <w:rsid w:val="0088549D"/>
  </w:style>
  <w:style w:type="paragraph" w:styleId="TOCHeading">
    <w:name w:val="TOC Heading"/>
    <w:basedOn w:val="Heading1"/>
    <w:next w:val="Normal"/>
    <w:uiPriority w:val="39"/>
    <w:unhideWhenUsed/>
    <w:qFormat/>
    <w:rsid w:val="00E6365C"/>
    <w:pPr>
      <w:keepNext/>
      <w:keepLines/>
      <w:widowControl/>
      <w:spacing w:before="240" w:line="259" w:lineRule="auto"/>
      <w:outlineLvl w:val="9"/>
    </w:pPr>
    <w:rPr>
      <w:rFonts w:eastAsiaTheme="majorEastAsia" w:cstheme="majorBidi"/>
      <w:b w:val="0"/>
      <w:bCs w:val="0"/>
      <w:sz w:val="24"/>
      <w:u w:val="none"/>
    </w:rPr>
  </w:style>
  <w:style w:type="paragraph" w:styleId="TOC1">
    <w:name w:val="toc 1"/>
    <w:basedOn w:val="Normal"/>
    <w:next w:val="Normal"/>
    <w:autoRedefine/>
    <w:uiPriority w:val="39"/>
    <w:unhideWhenUsed/>
    <w:rsid w:val="00152820"/>
    <w:pPr>
      <w:tabs>
        <w:tab w:val="right" w:leader="dot" w:pos="9650"/>
      </w:tabs>
      <w:spacing w:after="0"/>
    </w:pPr>
    <w:rPr>
      <w:b/>
      <w:color w:val="093B60"/>
    </w:rPr>
  </w:style>
  <w:style w:type="character" w:styleId="CommentReference">
    <w:name w:val="annotation reference"/>
    <w:basedOn w:val="DefaultParagraphFont"/>
    <w:uiPriority w:val="99"/>
    <w:semiHidden/>
    <w:unhideWhenUsed/>
    <w:rsid w:val="00384C1F"/>
    <w:rPr>
      <w:sz w:val="16"/>
      <w:szCs w:val="16"/>
    </w:rPr>
  </w:style>
  <w:style w:type="paragraph" w:styleId="CommentText">
    <w:name w:val="annotation text"/>
    <w:basedOn w:val="Normal"/>
    <w:link w:val="CommentTextChar"/>
    <w:uiPriority w:val="99"/>
    <w:unhideWhenUsed/>
    <w:rsid w:val="00384C1F"/>
    <w:rPr>
      <w:sz w:val="20"/>
      <w:szCs w:val="20"/>
    </w:rPr>
  </w:style>
  <w:style w:type="character" w:customStyle="1" w:styleId="CommentTextChar">
    <w:name w:val="Comment Text Char"/>
    <w:basedOn w:val="DefaultParagraphFont"/>
    <w:link w:val="CommentText"/>
    <w:uiPriority w:val="99"/>
    <w:rsid w:val="00384C1F"/>
    <w:rPr>
      <w:sz w:val="20"/>
      <w:szCs w:val="20"/>
    </w:rPr>
  </w:style>
  <w:style w:type="paragraph" w:styleId="CommentSubject">
    <w:name w:val="annotation subject"/>
    <w:basedOn w:val="CommentText"/>
    <w:next w:val="CommentText"/>
    <w:link w:val="CommentSubjectChar"/>
    <w:uiPriority w:val="99"/>
    <w:semiHidden/>
    <w:unhideWhenUsed/>
    <w:rsid w:val="00384C1F"/>
    <w:rPr>
      <w:b/>
      <w:bCs/>
    </w:rPr>
  </w:style>
  <w:style w:type="character" w:customStyle="1" w:styleId="CommentSubjectChar">
    <w:name w:val="Comment Subject Char"/>
    <w:basedOn w:val="CommentTextChar"/>
    <w:link w:val="CommentSubject"/>
    <w:uiPriority w:val="99"/>
    <w:semiHidden/>
    <w:rsid w:val="00384C1F"/>
    <w:rPr>
      <w:b/>
      <w:bCs/>
      <w:sz w:val="20"/>
      <w:szCs w:val="20"/>
    </w:rPr>
  </w:style>
  <w:style w:type="paragraph" w:styleId="BalloonText">
    <w:name w:val="Balloon Text"/>
    <w:basedOn w:val="Normal"/>
    <w:link w:val="BalloonTextChar"/>
    <w:uiPriority w:val="99"/>
    <w:semiHidden/>
    <w:unhideWhenUsed/>
    <w:rsid w:val="00384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1F"/>
    <w:rPr>
      <w:rFonts w:ascii="Segoe UI" w:hAnsi="Segoe UI" w:cs="Segoe UI"/>
      <w:sz w:val="18"/>
      <w:szCs w:val="18"/>
    </w:rPr>
  </w:style>
  <w:style w:type="table" w:styleId="TableGrid">
    <w:name w:val="Table Grid"/>
    <w:basedOn w:val="TableNormal"/>
    <w:uiPriority w:val="39"/>
    <w:rsid w:val="002F3D6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Heading2"/>
    <w:next w:val="Normal"/>
    <w:autoRedefine/>
    <w:uiPriority w:val="39"/>
    <w:unhideWhenUsed/>
    <w:rsid w:val="00EE4575"/>
    <w:pPr>
      <w:tabs>
        <w:tab w:val="right" w:pos="720"/>
        <w:tab w:val="right" w:leader="dot" w:pos="9650"/>
      </w:tabs>
      <w:spacing w:before="0" w:after="0"/>
      <w:ind w:left="360"/>
    </w:pPr>
    <w:rPr>
      <w:b w:val="0"/>
      <w:color w:val="000000" w:themeColor="text1"/>
    </w:rPr>
  </w:style>
  <w:style w:type="paragraph" w:styleId="FootnoteText">
    <w:name w:val="footnote text"/>
    <w:basedOn w:val="Normal"/>
    <w:link w:val="FootnoteTextChar"/>
    <w:uiPriority w:val="99"/>
    <w:unhideWhenUsed/>
    <w:qFormat/>
    <w:rsid w:val="00F96738"/>
    <w:pPr>
      <w:spacing w:after="60"/>
    </w:pPr>
    <w:rPr>
      <w:sz w:val="20"/>
      <w:szCs w:val="20"/>
    </w:rPr>
  </w:style>
  <w:style w:type="character" w:customStyle="1" w:styleId="FootnoteTextChar">
    <w:name w:val="Footnote Text Char"/>
    <w:basedOn w:val="DefaultParagraphFont"/>
    <w:link w:val="FootnoteText"/>
    <w:uiPriority w:val="99"/>
    <w:rsid w:val="00F9673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736AF"/>
    <w:rPr>
      <w:vertAlign w:val="superscript"/>
    </w:rPr>
  </w:style>
  <w:style w:type="paragraph" w:styleId="Revision">
    <w:name w:val="Revision"/>
    <w:hidden/>
    <w:uiPriority w:val="99"/>
    <w:semiHidden/>
    <w:rsid w:val="00C82E26"/>
    <w:pPr>
      <w:widowControl/>
    </w:pPr>
  </w:style>
  <w:style w:type="character" w:customStyle="1" w:styleId="UnresolvedMention1">
    <w:name w:val="Unresolved Mention1"/>
    <w:basedOn w:val="DefaultParagraphFont"/>
    <w:uiPriority w:val="99"/>
    <w:semiHidden/>
    <w:unhideWhenUsed/>
    <w:rsid w:val="00053B39"/>
    <w:rPr>
      <w:color w:val="605E5C"/>
      <w:shd w:val="clear" w:color="auto" w:fill="E1DFDD"/>
    </w:rPr>
  </w:style>
  <w:style w:type="paragraph" w:styleId="NormalWeb">
    <w:name w:val="Normal (Web)"/>
    <w:basedOn w:val="Normal"/>
    <w:uiPriority w:val="99"/>
    <w:unhideWhenUsed/>
    <w:rsid w:val="00053B39"/>
    <w:pPr>
      <w:widowControl/>
      <w:spacing w:before="100" w:beforeAutospacing="1" w:after="100" w:afterAutospacing="1"/>
    </w:pPr>
    <w:rPr>
      <w:rFonts w:eastAsia="Times New Roman"/>
    </w:rPr>
  </w:style>
  <w:style w:type="paragraph" w:styleId="Caption">
    <w:name w:val="caption"/>
    <w:basedOn w:val="Normal"/>
    <w:next w:val="Normal"/>
    <w:uiPriority w:val="35"/>
    <w:unhideWhenUsed/>
    <w:qFormat/>
    <w:rsid w:val="00D20454"/>
    <w:pPr>
      <w:keepNext/>
      <w:spacing w:after="200"/>
      <w:jc w:val="center"/>
    </w:pPr>
    <w:rPr>
      <w:b/>
      <w:i/>
      <w:iCs/>
      <w:color w:val="093865"/>
      <w:sz w:val="18"/>
      <w:szCs w:val="18"/>
    </w:rPr>
  </w:style>
  <w:style w:type="character" w:styleId="FollowedHyperlink">
    <w:name w:val="FollowedHyperlink"/>
    <w:basedOn w:val="DefaultParagraphFont"/>
    <w:uiPriority w:val="99"/>
    <w:semiHidden/>
    <w:unhideWhenUsed/>
    <w:rsid w:val="006938F6"/>
    <w:rPr>
      <w:color w:val="800080" w:themeColor="followedHyperlink"/>
      <w:u w:val="single"/>
    </w:rPr>
  </w:style>
  <w:style w:type="paragraph" w:customStyle="1" w:styleId="Default">
    <w:name w:val="Default"/>
    <w:rsid w:val="00F358A4"/>
    <w:pPr>
      <w:widowControl/>
      <w:autoSpaceDE w:val="0"/>
      <w:autoSpaceDN w:val="0"/>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D424DC"/>
    <w:rPr>
      <w:rFonts w:ascii="Times New Roman" w:eastAsia="Times New Roman" w:hAnsi="Times New Roman"/>
      <w:sz w:val="24"/>
      <w:szCs w:val="24"/>
    </w:rPr>
  </w:style>
  <w:style w:type="paragraph" w:styleId="EndnoteText">
    <w:name w:val="endnote text"/>
    <w:basedOn w:val="Normal"/>
    <w:link w:val="EndnoteTextChar"/>
    <w:uiPriority w:val="99"/>
    <w:unhideWhenUsed/>
    <w:rsid w:val="003302F6"/>
    <w:rPr>
      <w:sz w:val="20"/>
      <w:szCs w:val="20"/>
    </w:rPr>
  </w:style>
  <w:style w:type="character" w:customStyle="1" w:styleId="EndnoteTextChar">
    <w:name w:val="Endnote Text Char"/>
    <w:basedOn w:val="DefaultParagraphFont"/>
    <w:link w:val="EndnoteText"/>
    <w:uiPriority w:val="99"/>
    <w:rsid w:val="003302F6"/>
    <w:rPr>
      <w:sz w:val="20"/>
      <w:szCs w:val="20"/>
    </w:rPr>
  </w:style>
  <w:style w:type="character" w:styleId="EndnoteReference">
    <w:name w:val="endnote reference"/>
    <w:basedOn w:val="DefaultParagraphFont"/>
    <w:uiPriority w:val="99"/>
    <w:semiHidden/>
    <w:unhideWhenUsed/>
    <w:rsid w:val="003302F6"/>
    <w:rPr>
      <w:vertAlign w:val="superscript"/>
    </w:rPr>
  </w:style>
  <w:style w:type="character" w:customStyle="1" w:styleId="Mention1">
    <w:name w:val="Mention1"/>
    <w:basedOn w:val="DefaultParagraphFont"/>
    <w:uiPriority w:val="99"/>
    <w:unhideWhenUsed/>
    <w:rsid w:val="00EF0B61"/>
    <w:rPr>
      <w:color w:val="2B579A"/>
      <w:shd w:val="clear" w:color="auto" w:fill="E1DFDD"/>
    </w:rPr>
  </w:style>
  <w:style w:type="paragraph" w:styleId="NoSpacing">
    <w:name w:val="No Spacing"/>
    <w:uiPriority w:val="1"/>
    <w:qFormat/>
    <w:rsid w:val="00EF0B61"/>
    <w:pPr>
      <w:widowControl/>
    </w:pPr>
  </w:style>
  <w:style w:type="character" w:customStyle="1" w:styleId="Heading3Char">
    <w:name w:val="Heading 3 Char"/>
    <w:basedOn w:val="DefaultParagraphFont"/>
    <w:link w:val="Heading3"/>
    <w:uiPriority w:val="9"/>
    <w:rsid w:val="00CA7468"/>
    <w:rPr>
      <w:rFonts w:ascii="Times New Roman" w:eastAsiaTheme="majorEastAsia" w:hAnsi="Times New Roman" w:cs="Times New Roman"/>
      <w:b/>
      <w:i/>
      <w:color w:val="243F60" w:themeColor="accent1" w:themeShade="7F"/>
      <w:sz w:val="24"/>
      <w:szCs w:val="24"/>
    </w:rPr>
  </w:style>
  <w:style w:type="character" w:customStyle="1" w:styleId="Heading4Char">
    <w:name w:val="Heading 4 Char"/>
    <w:basedOn w:val="DefaultParagraphFont"/>
    <w:link w:val="Heading4"/>
    <w:uiPriority w:val="9"/>
    <w:rsid w:val="00923CA6"/>
    <w:rPr>
      <w:rFonts w:ascii="Times New Roman" w:hAnsi="Times New Roman" w:cs="Times New Roman"/>
      <w:b/>
      <w:color w:val="093B60"/>
      <w:sz w:val="24"/>
      <w:szCs w:val="24"/>
      <w:u w:val="single"/>
    </w:rPr>
  </w:style>
  <w:style w:type="paragraph" w:customStyle="1" w:styleId="WVBullet2">
    <w:name w:val="_WV Bullet2"/>
    <w:basedOn w:val="Normal"/>
    <w:rsid w:val="00D038D6"/>
    <w:pPr>
      <w:numPr>
        <w:numId w:val="5"/>
      </w:numPr>
    </w:pPr>
  </w:style>
  <w:style w:type="paragraph" w:styleId="TOC3">
    <w:name w:val="toc 3"/>
    <w:basedOn w:val="Normal"/>
    <w:next w:val="Normal"/>
    <w:autoRedefine/>
    <w:uiPriority w:val="39"/>
    <w:unhideWhenUsed/>
    <w:rsid w:val="00EE4575"/>
    <w:pPr>
      <w:spacing w:after="0"/>
      <w:ind w:left="576"/>
    </w:pPr>
  </w:style>
  <w:style w:type="character" w:styleId="UnresolvedMention">
    <w:name w:val="Unresolved Mention"/>
    <w:basedOn w:val="DefaultParagraphFont"/>
    <w:uiPriority w:val="99"/>
    <w:semiHidden/>
    <w:unhideWhenUsed/>
    <w:rsid w:val="006E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1613">
      <w:bodyDiv w:val="1"/>
      <w:marLeft w:val="0"/>
      <w:marRight w:val="0"/>
      <w:marTop w:val="0"/>
      <w:marBottom w:val="0"/>
      <w:divBdr>
        <w:top w:val="none" w:sz="0" w:space="0" w:color="auto"/>
        <w:left w:val="none" w:sz="0" w:space="0" w:color="auto"/>
        <w:bottom w:val="none" w:sz="0" w:space="0" w:color="auto"/>
        <w:right w:val="none" w:sz="0" w:space="0" w:color="auto"/>
      </w:divBdr>
    </w:div>
    <w:div w:id="85004407">
      <w:bodyDiv w:val="1"/>
      <w:marLeft w:val="0"/>
      <w:marRight w:val="0"/>
      <w:marTop w:val="0"/>
      <w:marBottom w:val="0"/>
      <w:divBdr>
        <w:top w:val="none" w:sz="0" w:space="0" w:color="auto"/>
        <w:left w:val="none" w:sz="0" w:space="0" w:color="auto"/>
        <w:bottom w:val="none" w:sz="0" w:space="0" w:color="auto"/>
        <w:right w:val="none" w:sz="0" w:space="0" w:color="auto"/>
      </w:divBdr>
      <w:divsChild>
        <w:div w:id="422072432">
          <w:marLeft w:val="0"/>
          <w:marRight w:val="0"/>
          <w:marTop w:val="0"/>
          <w:marBottom w:val="0"/>
          <w:divBdr>
            <w:top w:val="none" w:sz="0" w:space="0" w:color="auto"/>
            <w:left w:val="none" w:sz="0" w:space="0" w:color="auto"/>
            <w:bottom w:val="none" w:sz="0" w:space="0" w:color="auto"/>
            <w:right w:val="none" w:sz="0" w:space="0" w:color="auto"/>
          </w:divBdr>
          <w:divsChild>
            <w:div w:id="1615477755">
              <w:marLeft w:val="0"/>
              <w:marRight w:val="0"/>
              <w:marTop w:val="0"/>
              <w:marBottom w:val="0"/>
              <w:divBdr>
                <w:top w:val="none" w:sz="0" w:space="0" w:color="auto"/>
                <w:left w:val="none" w:sz="0" w:space="0" w:color="auto"/>
                <w:bottom w:val="none" w:sz="0" w:space="0" w:color="auto"/>
                <w:right w:val="none" w:sz="0" w:space="0" w:color="auto"/>
              </w:divBdr>
              <w:divsChild>
                <w:div w:id="3046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408">
      <w:bodyDiv w:val="1"/>
      <w:marLeft w:val="0"/>
      <w:marRight w:val="0"/>
      <w:marTop w:val="0"/>
      <w:marBottom w:val="0"/>
      <w:divBdr>
        <w:top w:val="none" w:sz="0" w:space="0" w:color="auto"/>
        <w:left w:val="none" w:sz="0" w:space="0" w:color="auto"/>
        <w:bottom w:val="none" w:sz="0" w:space="0" w:color="auto"/>
        <w:right w:val="none" w:sz="0" w:space="0" w:color="auto"/>
      </w:divBdr>
      <w:divsChild>
        <w:div w:id="477722090">
          <w:marLeft w:val="562"/>
          <w:marRight w:val="533"/>
          <w:marTop w:val="20"/>
          <w:marBottom w:val="0"/>
          <w:divBdr>
            <w:top w:val="none" w:sz="0" w:space="0" w:color="auto"/>
            <w:left w:val="none" w:sz="0" w:space="0" w:color="auto"/>
            <w:bottom w:val="none" w:sz="0" w:space="0" w:color="auto"/>
            <w:right w:val="none" w:sz="0" w:space="0" w:color="auto"/>
          </w:divBdr>
        </w:div>
        <w:div w:id="1803232095">
          <w:marLeft w:val="562"/>
          <w:marRight w:val="533"/>
          <w:marTop w:val="20"/>
          <w:marBottom w:val="0"/>
          <w:divBdr>
            <w:top w:val="none" w:sz="0" w:space="0" w:color="auto"/>
            <w:left w:val="none" w:sz="0" w:space="0" w:color="auto"/>
            <w:bottom w:val="none" w:sz="0" w:space="0" w:color="auto"/>
            <w:right w:val="none" w:sz="0" w:space="0" w:color="auto"/>
          </w:divBdr>
        </w:div>
        <w:div w:id="1899706478">
          <w:marLeft w:val="562"/>
          <w:marRight w:val="533"/>
          <w:marTop w:val="20"/>
          <w:marBottom w:val="0"/>
          <w:divBdr>
            <w:top w:val="none" w:sz="0" w:space="0" w:color="auto"/>
            <w:left w:val="none" w:sz="0" w:space="0" w:color="auto"/>
            <w:bottom w:val="none" w:sz="0" w:space="0" w:color="auto"/>
            <w:right w:val="none" w:sz="0" w:space="0" w:color="auto"/>
          </w:divBdr>
        </w:div>
        <w:div w:id="200284516">
          <w:marLeft w:val="562"/>
          <w:marRight w:val="533"/>
          <w:marTop w:val="20"/>
          <w:marBottom w:val="0"/>
          <w:divBdr>
            <w:top w:val="none" w:sz="0" w:space="0" w:color="auto"/>
            <w:left w:val="none" w:sz="0" w:space="0" w:color="auto"/>
            <w:bottom w:val="none" w:sz="0" w:space="0" w:color="auto"/>
            <w:right w:val="none" w:sz="0" w:space="0" w:color="auto"/>
          </w:divBdr>
        </w:div>
      </w:divsChild>
    </w:div>
    <w:div w:id="560603555">
      <w:bodyDiv w:val="1"/>
      <w:marLeft w:val="0"/>
      <w:marRight w:val="0"/>
      <w:marTop w:val="0"/>
      <w:marBottom w:val="0"/>
      <w:divBdr>
        <w:top w:val="none" w:sz="0" w:space="0" w:color="auto"/>
        <w:left w:val="none" w:sz="0" w:space="0" w:color="auto"/>
        <w:bottom w:val="none" w:sz="0" w:space="0" w:color="auto"/>
        <w:right w:val="none" w:sz="0" w:space="0" w:color="auto"/>
      </w:divBdr>
      <w:divsChild>
        <w:div w:id="1380930847">
          <w:marLeft w:val="0"/>
          <w:marRight w:val="0"/>
          <w:marTop w:val="0"/>
          <w:marBottom w:val="0"/>
          <w:divBdr>
            <w:top w:val="none" w:sz="0" w:space="0" w:color="auto"/>
            <w:left w:val="none" w:sz="0" w:space="0" w:color="auto"/>
            <w:bottom w:val="none" w:sz="0" w:space="0" w:color="auto"/>
            <w:right w:val="none" w:sz="0" w:space="0" w:color="auto"/>
          </w:divBdr>
          <w:divsChild>
            <w:div w:id="812873385">
              <w:marLeft w:val="0"/>
              <w:marRight w:val="0"/>
              <w:marTop w:val="0"/>
              <w:marBottom w:val="0"/>
              <w:divBdr>
                <w:top w:val="none" w:sz="0" w:space="0" w:color="auto"/>
                <w:left w:val="none" w:sz="0" w:space="0" w:color="auto"/>
                <w:bottom w:val="none" w:sz="0" w:space="0" w:color="auto"/>
                <w:right w:val="none" w:sz="0" w:space="0" w:color="auto"/>
              </w:divBdr>
              <w:divsChild>
                <w:div w:id="1835755231">
                  <w:marLeft w:val="0"/>
                  <w:marRight w:val="0"/>
                  <w:marTop w:val="0"/>
                  <w:marBottom w:val="0"/>
                  <w:divBdr>
                    <w:top w:val="none" w:sz="0" w:space="0" w:color="auto"/>
                    <w:left w:val="none" w:sz="0" w:space="0" w:color="auto"/>
                    <w:bottom w:val="none" w:sz="0" w:space="0" w:color="auto"/>
                    <w:right w:val="none" w:sz="0" w:space="0" w:color="auto"/>
                  </w:divBdr>
                  <w:divsChild>
                    <w:div w:id="4284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97576">
      <w:bodyDiv w:val="1"/>
      <w:marLeft w:val="0"/>
      <w:marRight w:val="0"/>
      <w:marTop w:val="0"/>
      <w:marBottom w:val="0"/>
      <w:divBdr>
        <w:top w:val="none" w:sz="0" w:space="0" w:color="auto"/>
        <w:left w:val="none" w:sz="0" w:space="0" w:color="auto"/>
        <w:bottom w:val="none" w:sz="0" w:space="0" w:color="auto"/>
        <w:right w:val="none" w:sz="0" w:space="0" w:color="auto"/>
      </w:divBdr>
    </w:div>
    <w:div w:id="639846943">
      <w:bodyDiv w:val="1"/>
      <w:marLeft w:val="0"/>
      <w:marRight w:val="0"/>
      <w:marTop w:val="0"/>
      <w:marBottom w:val="0"/>
      <w:divBdr>
        <w:top w:val="none" w:sz="0" w:space="0" w:color="auto"/>
        <w:left w:val="none" w:sz="0" w:space="0" w:color="auto"/>
        <w:bottom w:val="none" w:sz="0" w:space="0" w:color="auto"/>
        <w:right w:val="none" w:sz="0" w:space="0" w:color="auto"/>
      </w:divBdr>
    </w:div>
    <w:div w:id="778834108">
      <w:bodyDiv w:val="1"/>
      <w:marLeft w:val="0"/>
      <w:marRight w:val="0"/>
      <w:marTop w:val="0"/>
      <w:marBottom w:val="0"/>
      <w:divBdr>
        <w:top w:val="none" w:sz="0" w:space="0" w:color="auto"/>
        <w:left w:val="none" w:sz="0" w:space="0" w:color="auto"/>
        <w:bottom w:val="none" w:sz="0" w:space="0" w:color="auto"/>
        <w:right w:val="none" w:sz="0" w:space="0" w:color="auto"/>
      </w:divBdr>
    </w:div>
    <w:div w:id="938639239">
      <w:bodyDiv w:val="1"/>
      <w:marLeft w:val="0"/>
      <w:marRight w:val="0"/>
      <w:marTop w:val="0"/>
      <w:marBottom w:val="0"/>
      <w:divBdr>
        <w:top w:val="none" w:sz="0" w:space="0" w:color="auto"/>
        <w:left w:val="none" w:sz="0" w:space="0" w:color="auto"/>
        <w:bottom w:val="none" w:sz="0" w:space="0" w:color="auto"/>
        <w:right w:val="none" w:sz="0" w:space="0" w:color="auto"/>
      </w:divBdr>
    </w:div>
    <w:div w:id="944266494">
      <w:bodyDiv w:val="1"/>
      <w:marLeft w:val="0"/>
      <w:marRight w:val="0"/>
      <w:marTop w:val="0"/>
      <w:marBottom w:val="0"/>
      <w:divBdr>
        <w:top w:val="none" w:sz="0" w:space="0" w:color="auto"/>
        <w:left w:val="none" w:sz="0" w:space="0" w:color="auto"/>
        <w:bottom w:val="none" w:sz="0" w:space="0" w:color="auto"/>
        <w:right w:val="none" w:sz="0" w:space="0" w:color="auto"/>
      </w:divBdr>
      <w:divsChild>
        <w:div w:id="49425967">
          <w:marLeft w:val="0"/>
          <w:marRight w:val="0"/>
          <w:marTop w:val="0"/>
          <w:marBottom w:val="0"/>
          <w:divBdr>
            <w:top w:val="none" w:sz="0" w:space="0" w:color="auto"/>
            <w:left w:val="none" w:sz="0" w:space="0" w:color="auto"/>
            <w:bottom w:val="none" w:sz="0" w:space="0" w:color="auto"/>
            <w:right w:val="none" w:sz="0" w:space="0" w:color="auto"/>
          </w:divBdr>
          <w:divsChild>
            <w:div w:id="1434278199">
              <w:marLeft w:val="0"/>
              <w:marRight w:val="0"/>
              <w:marTop w:val="0"/>
              <w:marBottom w:val="0"/>
              <w:divBdr>
                <w:top w:val="none" w:sz="0" w:space="0" w:color="auto"/>
                <w:left w:val="none" w:sz="0" w:space="0" w:color="auto"/>
                <w:bottom w:val="none" w:sz="0" w:space="0" w:color="auto"/>
                <w:right w:val="none" w:sz="0" w:space="0" w:color="auto"/>
              </w:divBdr>
              <w:divsChild>
                <w:div w:id="693768342">
                  <w:marLeft w:val="0"/>
                  <w:marRight w:val="0"/>
                  <w:marTop w:val="0"/>
                  <w:marBottom w:val="0"/>
                  <w:divBdr>
                    <w:top w:val="none" w:sz="0" w:space="0" w:color="auto"/>
                    <w:left w:val="none" w:sz="0" w:space="0" w:color="auto"/>
                    <w:bottom w:val="none" w:sz="0" w:space="0" w:color="auto"/>
                    <w:right w:val="none" w:sz="0" w:space="0" w:color="auto"/>
                  </w:divBdr>
                </w:div>
              </w:divsChild>
            </w:div>
            <w:div w:id="1871844036">
              <w:marLeft w:val="0"/>
              <w:marRight w:val="0"/>
              <w:marTop w:val="0"/>
              <w:marBottom w:val="0"/>
              <w:divBdr>
                <w:top w:val="none" w:sz="0" w:space="0" w:color="auto"/>
                <w:left w:val="none" w:sz="0" w:space="0" w:color="auto"/>
                <w:bottom w:val="none" w:sz="0" w:space="0" w:color="auto"/>
                <w:right w:val="none" w:sz="0" w:space="0" w:color="auto"/>
              </w:divBdr>
              <w:divsChild>
                <w:div w:id="730425631">
                  <w:marLeft w:val="0"/>
                  <w:marRight w:val="0"/>
                  <w:marTop w:val="0"/>
                  <w:marBottom w:val="0"/>
                  <w:divBdr>
                    <w:top w:val="none" w:sz="0" w:space="0" w:color="auto"/>
                    <w:left w:val="none" w:sz="0" w:space="0" w:color="auto"/>
                    <w:bottom w:val="none" w:sz="0" w:space="0" w:color="auto"/>
                    <w:right w:val="none" w:sz="0" w:space="0" w:color="auto"/>
                  </w:divBdr>
                </w:div>
                <w:div w:id="20250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6403">
          <w:marLeft w:val="0"/>
          <w:marRight w:val="0"/>
          <w:marTop w:val="0"/>
          <w:marBottom w:val="0"/>
          <w:divBdr>
            <w:top w:val="none" w:sz="0" w:space="0" w:color="auto"/>
            <w:left w:val="none" w:sz="0" w:space="0" w:color="auto"/>
            <w:bottom w:val="none" w:sz="0" w:space="0" w:color="auto"/>
            <w:right w:val="none" w:sz="0" w:space="0" w:color="auto"/>
          </w:divBdr>
          <w:divsChild>
            <w:div w:id="135337807">
              <w:marLeft w:val="0"/>
              <w:marRight w:val="0"/>
              <w:marTop w:val="0"/>
              <w:marBottom w:val="0"/>
              <w:divBdr>
                <w:top w:val="none" w:sz="0" w:space="0" w:color="auto"/>
                <w:left w:val="none" w:sz="0" w:space="0" w:color="auto"/>
                <w:bottom w:val="none" w:sz="0" w:space="0" w:color="auto"/>
                <w:right w:val="none" w:sz="0" w:space="0" w:color="auto"/>
              </w:divBdr>
              <w:divsChild>
                <w:div w:id="1930383492">
                  <w:marLeft w:val="0"/>
                  <w:marRight w:val="0"/>
                  <w:marTop w:val="0"/>
                  <w:marBottom w:val="0"/>
                  <w:divBdr>
                    <w:top w:val="none" w:sz="0" w:space="0" w:color="auto"/>
                    <w:left w:val="none" w:sz="0" w:space="0" w:color="auto"/>
                    <w:bottom w:val="none" w:sz="0" w:space="0" w:color="auto"/>
                    <w:right w:val="none" w:sz="0" w:space="0" w:color="auto"/>
                  </w:divBdr>
                </w:div>
              </w:divsChild>
            </w:div>
            <w:div w:id="1277521787">
              <w:marLeft w:val="0"/>
              <w:marRight w:val="0"/>
              <w:marTop w:val="0"/>
              <w:marBottom w:val="0"/>
              <w:divBdr>
                <w:top w:val="none" w:sz="0" w:space="0" w:color="auto"/>
                <w:left w:val="none" w:sz="0" w:space="0" w:color="auto"/>
                <w:bottom w:val="none" w:sz="0" w:space="0" w:color="auto"/>
                <w:right w:val="none" w:sz="0" w:space="0" w:color="auto"/>
              </w:divBdr>
              <w:divsChild>
                <w:div w:id="922449946">
                  <w:marLeft w:val="0"/>
                  <w:marRight w:val="0"/>
                  <w:marTop w:val="0"/>
                  <w:marBottom w:val="0"/>
                  <w:divBdr>
                    <w:top w:val="none" w:sz="0" w:space="0" w:color="auto"/>
                    <w:left w:val="none" w:sz="0" w:space="0" w:color="auto"/>
                    <w:bottom w:val="none" w:sz="0" w:space="0" w:color="auto"/>
                    <w:right w:val="none" w:sz="0" w:space="0" w:color="auto"/>
                  </w:divBdr>
                </w:div>
                <w:div w:id="7720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8679">
          <w:marLeft w:val="0"/>
          <w:marRight w:val="0"/>
          <w:marTop w:val="0"/>
          <w:marBottom w:val="0"/>
          <w:divBdr>
            <w:top w:val="none" w:sz="0" w:space="0" w:color="auto"/>
            <w:left w:val="none" w:sz="0" w:space="0" w:color="auto"/>
            <w:bottom w:val="none" w:sz="0" w:space="0" w:color="auto"/>
            <w:right w:val="none" w:sz="0" w:space="0" w:color="auto"/>
          </w:divBdr>
          <w:divsChild>
            <w:div w:id="1837961932">
              <w:marLeft w:val="0"/>
              <w:marRight w:val="0"/>
              <w:marTop w:val="0"/>
              <w:marBottom w:val="0"/>
              <w:divBdr>
                <w:top w:val="none" w:sz="0" w:space="0" w:color="auto"/>
                <w:left w:val="none" w:sz="0" w:space="0" w:color="auto"/>
                <w:bottom w:val="none" w:sz="0" w:space="0" w:color="auto"/>
                <w:right w:val="none" w:sz="0" w:space="0" w:color="auto"/>
              </w:divBdr>
              <w:divsChild>
                <w:div w:id="15490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49662">
      <w:bodyDiv w:val="1"/>
      <w:marLeft w:val="0"/>
      <w:marRight w:val="0"/>
      <w:marTop w:val="0"/>
      <w:marBottom w:val="0"/>
      <w:divBdr>
        <w:top w:val="none" w:sz="0" w:space="0" w:color="auto"/>
        <w:left w:val="none" w:sz="0" w:space="0" w:color="auto"/>
        <w:bottom w:val="none" w:sz="0" w:space="0" w:color="auto"/>
        <w:right w:val="none" w:sz="0" w:space="0" w:color="auto"/>
      </w:divBdr>
      <w:divsChild>
        <w:div w:id="1176261953">
          <w:marLeft w:val="0"/>
          <w:marRight w:val="0"/>
          <w:marTop w:val="0"/>
          <w:marBottom w:val="0"/>
          <w:divBdr>
            <w:top w:val="none" w:sz="0" w:space="0" w:color="auto"/>
            <w:left w:val="none" w:sz="0" w:space="0" w:color="auto"/>
            <w:bottom w:val="none" w:sz="0" w:space="0" w:color="auto"/>
            <w:right w:val="none" w:sz="0" w:space="0" w:color="auto"/>
          </w:divBdr>
          <w:divsChild>
            <w:div w:id="194469419">
              <w:marLeft w:val="0"/>
              <w:marRight w:val="0"/>
              <w:marTop w:val="0"/>
              <w:marBottom w:val="0"/>
              <w:divBdr>
                <w:top w:val="none" w:sz="0" w:space="0" w:color="auto"/>
                <w:left w:val="none" w:sz="0" w:space="0" w:color="auto"/>
                <w:bottom w:val="none" w:sz="0" w:space="0" w:color="auto"/>
                <w:right w:val="none" w:sz="0" w:space="0" w:color="auto"/>
              </w:divBdr>
              <w:divsChild>
                <w:div w:id="15031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8851">
      <w:bodyDiv w:val="1"/>
      <w:marLeft w:val="0"/>
      <w:marRight w:val="0"/>
      <w:marTop w:val="0"/>
      <w:marBottom w:val="0"/>
      <w:divBdr>
        <w:top w:val="none" w:sz="0" w:space="0" w:color="auto"/>
        <w:left w:val="none" w:sz="0" w:space="0" w:color="auto"/>
        <w:bottom w:val="none" w:sz="0" w:space="0" w:color="auto"/>
        <w:right w:val="none" w:sz="0" w:space="0" w:color="auto"/>
      </w:divBdr>
    </w:div>
    <w:div w:id="1268662327">
      <w:bodyDiv w:val="1"/>
      <w:marLeft w:val="0"/>
      <w:marRight w:val="0"/>
      <w:marTop w:val="0"/>
      <w:marBottom w:val="0"/>
      <w:divBdr>
        <w:top w:val="none" w:sz="0" w:space="0" w:color="auto"/>
        <w:left w:val="none" w:sz="0" w:space="0" w:color="auto"/>
        <w:bottom w:val="none" w:sz="0" w:space="0" w:color="auto"/>
        <w:right w:val="none" w:sz="0" w:space="0" w:color="auto"/>
      </w:divBdr>
    </w:div>
    <w:div w:id="1559198876">
      <w:bodyDiv w:val="1"/>
      <w:marLeft w:val="0"/>
      <w:marRight w:val="0"/>
      <w:marTop w:val="0"/>
      <w:marBottom w:val="0"/>
      <w:divBdr>
        <w:top w:val="none" w:sz="0" w:space="0" w:color="auto"/>
        <w:left w:val="none" w:sz="0" w:space="0" w:color="auto"/>
        <w:bottom w:val="none" w:sz="0" w:space="0" w:color="auto"/>
        <w:right w:val="none" w:sz="0" w:space="0" w:color="auto"/>
      </w:divBdr>
    </w:div>
    <w:div w:id="1753119504">
      <w:bodyDiv w:val="1"/>
      <w:marLeft w:val="0"/>
      <w:marRight w:val="0"/>
      <w:marTop w:val="0"/>
      <w:marBottom w:val="0"/>
      <w:divBdr>
        <w:top w:val="none" w:sz="0" w:space="0" w:color="auto"/>
        <w:left w:val="none" w:sz="0" w:space="0" w:color="auto"/>
        <w:bottom w:val="none" w:sz="0" w:space="0" w:color="auto"/>
        <w:right w:val="none" w:sz="0" w:space="0" w:color="auto"/>
      </w:divBdr>
    </w:div>
    <w:div w:id="1974938808">
      <w:bodyDiv w:val="1"/>
      <w:marLeft w:val="0"/>
      <w:marRight w:val="0"/>
      <w:marTop w:val="0"/>
      <w:marBottom w:val="0"/>
      <w:divBdr>
        <w:top w:val="none" w:sz="0" w:space="0" w:color="auto"/>
        <w:left w:val="none" w:sz="0" w:space="0" w:color="auto"/>
        <w:bottom w:val="none" w:sz="0" w:space="0" w:color="auto"/>
        <w:right w:val="none" w:sz="0" w:space="0" w:color="auto"/>
      </w:divBdr>
    </w:div>
    <w:div w:id="214272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hfs.ky.gov/agencies/dms/Pages/publicnotices.aspx"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icrosoft.com/en-us/microsoft-teams/join-a-meetin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ky1115reentryprogram@mslc.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hfs.ky.gov/_layouts/download.aspx?SourceUrl=https://www.chfs.ky.gov/agencies/dms/BHI/KY%20DMS%20Reentry%201115%20Demonstration%20Application.docx" TargetMode="External"/><Relationship Id="rId22"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tinyurl.com/2tdr6z2n" TargetMode="External"/><Relationship Id="rId18" Type="http://schemas.openxmlformats.org/officeDocument/2006/relationships/hyperlink" Target="https://tinyurl.com/bdm9caes" TargetMode="External"/><Relationship Id="rId26" Type="http://schemas.openxmlformats.org/officeDocument/2006/relationships/hyperlink" Target="https://tinyurl.com/38ba6y5r" TargetMode="External"/><Relationship Id="rId39" Type="http://schemas.openxmlformats.org/officeDocument/2006/relationships/hyperlink" Target="https://tinyurl.com/24c2xy3e" TargetMode="External"/><Relationship Id="rId21" Type="http://schemas.openxmlformats.org/officeDocument/2006/relationships/hyperlink" Target="https://tinyurl.com/48cvvjzf" TargetMode="External"/><Relationship Id="rId34" Type="http://schemas.openxmlformats.org/officeDocument/2006/relationships/hyperlink" Target="https://tinyurl.com/27ttp38r" TargetMode="External"/><Relationship Id="rId42" Type="http://schemas.openxmlformats.org/officeDocument/2006/relationships/hyperlink" Target="https://tinyurl.com/27ttp38r" TargetMode="External"/><Relationship Id="rId47" Type="http://schemas.openxmlformats.org/officeDocument/2006/relationships/hyperlink" Target="https://tinyurl.com/257tyxkv" TargetMode="External"/><Relationship Id="rId50" Type="http://schemas.openxmlformats.org/officeDocument/2006/relationships/hyperlink" Target="https://tinyurl.com/mry2mkwv" TargetMode="External"/><Relationship Id="rId55" Type="http://schemas.openxmlformats.org/officeDocument/2006/relationships/hyperlink" Target="https://tinyurl.com/3s2cjbjs" TargetMode="External"/><Relationship Id="rId63" Type="http://schemas.openxmlformats.org/officeDocument/2006/relationships/hyperlink" Target="https://tinyurl.com/mry2mkwv" TargetMode="External"/><Relationship Id="rId7" Type="http://schemas.openxmlformats.org/officeDocument/2006/relationships/hyperlink" Target="https://tinyurl.com/34h69mrs" TargetMode="External"/><Relationship Id="rId2" Type="http://schemas.openxmlformats.org/officeDocument/2006/relationships/hyperlink" Target="https://tinyurl.com/2kvf3kf4" TargetMode="External"/><Relationship Id="rId16" Type="http://schemas.openxmlformats.org/officeDocument/2006/relationships/hyperlink" Target="https://tinyurl.com/2p98n6ps" TargetMode="External"/><Relationship Id="rId29" Type="http://schemas.openxmlformats.org/officeDocument/2006/relationships/hyperlink" Target="https://tinyurl.com/3r5pccf7" TargetMode="External"/><Relationship Id="rId11" Type="http://schemas.openxmlformats.org/officeDocument/2006/relationships/hyperlink" Target="https://tinyurl.com/mrypd674" TargetMode="External"/><Relationship Id="rId24" Type="http://schemas.openxmlformats.org/officeDocument/2006/relationships/hyperlink" Target="https://tinyurl.com/2ap3zd6h" TargetMode="External"/><Relationship Id="rId32" Type="http://schemas.openxmlformats.org/officeDocument/2006/relationships/hyperlink" Target="https://tinyurl.com/msz6jwb7" TargetMode="External"/><Relationship Id="rId37" Type="http://schemas.openxmlformats.org/officeDocument/2006/relationships/hyperlink" Target="https://tinyurl.com/bdfruzn8" TargetMode="External"/><Relationship Id="rId40" Type="http://schemas.openxmlformats.org/officeDocument/2006/relationships/hyperlink" Target="https://tinyurl.com/2r6juj33" TargetMode="External"/><Relationship Id="rId45" Type="http://schemas.openxmlformats.org/officeDocument/2006/relationships/hyperlink" Target="https://tinyurl.com/257tyxkv" TargetMode="External"/><Relationship Id="rId53" Type="http://schemas.openxmlformats.org/officeDocument/2006/relationships/hyperlink" Target="https://tinyurl.com/mva9kacj" TargetMode="External"/><Relationship Id="rId58" Type="http://schemas.openxmlformats.org/officeDocument/2006/relationships/hyperlink" Target="https://tinyurl.com/4f6uf8y8" TargetMode="External"/><Relationship Id="rId5" Type="http://schemas.openxmlformats.org/officeDocument/2006/relationships/hyperlink" Target="https://tinyurl.com/2ap3zd6h" TargetMode="External"/><Relationship Id="rId61" Type="http://schemas.openxmlformats.org/officeDocument/2006/relationships/hyperlink" Target="https://tinyurl.com/yfpnj874" TargetMode="External"/><Relationship Id="rId19" Type="http://schemas.openxmlformats.org/officeDocument/2006/relationships/hyperlink" Target="https://tinyurl.com/59e526aa" TargetMode="External"/><Relationship Id="rId14" Type="http://schemas.openxmlformats.org/officeDocument/2006/relationships/hyperlink" Target="https://tinyurl.com/ysxutc5m" TargetMode="External"/><Relationship Id="rId22" Type="http://schemas.openxmlformats.org/officeDocument/2006/relationships/hyperlink" Target="https://tinyurl.com/yb2uu4x7" TargetMode="External"/><Relationship Id="rId27" Type="http://schemas.openxmlformats.org/officeDocument/2006/relationships/hyperlink" Target="https://tinyurl.com/mrypd674" TargetMode="External"/><Relationship Id="rId30" Type="http://schemas.openxmlformats.org/officeDocument/2006/relationships/hyperlink" Target="https://tinyurl.com/4wkmc73n" TargetMode="External"/><Relationship Id="rId35" Type="http://schemas.openxmlformats.org/officeDocument/2006/relationships/hyperlink" Target="https://www.cdc.gov/opioids/basics/epidemic.html." TargetMode="External"/><Relationship Id="rId43" Type="http://schemas.openxmlformats.org/officeDocument/2006/relationships/hyperlink" Target="https://tinyurl.com/ztv4dv93" TargetMode="External"/><Relationship Id="rId48" Type="http://schemas.openxmlformats.org/officeDocument/2006/relationships/hyperlink" Target="https://tinyurl.com/35unc6eu" TargetMode="External"/><Relationship Id="rId56" Type="http://schemas.openxmlformats.org/officeDocument/2006/relationships/hyperlink" Target="https://tinyurl.com/mr35a89y" TargetMode="External"/><Relationship Id="rId8" Type="http://schemas.openxmlformats.org/officeDocument/2006/relationships/hyperlink" Target="https://tinyurl.com/2ap3zd6h" TargetMode="External"/><Relationship Id="rId51" Type="http://schemas.openxmlformats.org/officeDocument/2006/relationships/hyperlink" Target="https://tinyurl.com/mwwu5xfa" TargetMode="External"/><Relationship Id="rId3" Type="http://schemas.openxmlformats.org/officeDocument/2006/relationships/hyperlink" Target="https://tinyurl.com/3ssbzk4e" TargetMode="External"/><Relationship Id="rId12" Type="http://schemas.openxmlformats.org/officeDocument/2006/relationships/hyperlink" Target="https://tinyurl.com/4nyfxhhb" TargetMode="External"/><Relationship Id="rId17" Type="http://schemas.openxmlformats.org/officeDocument/2006/relationships/hyperlink" Target="https://tinyurl.com/mr2dzsn3" TargetMode="External"/><Relationship Id="rId25" Type="http://schemas.openxmlformats.org/officeDocument/2006/relationships/hyperlink" Target="https://tinyurl.com/yf8rmm6b" TargetMode="External"/><Relationship Id="rId33" Type="http://schemas.openxmlformats.org/officeDocument/2006/relationships/hyperlink" Target="https://tinyurl.com/ytv33ujf" TargetMode="External"/><Relationship Id="rId38" Type="http://schemas.openxmlformats.org/officeDocument/2006/relationships/hyperlink" Target="https://tinyurl.com/4yhbzcja" TargetMode="External"/><Relationship Id="rId46" Type="http://schemas.openxmlformats.org/officeDocument/2006/relationships/hyperlink" Target="https://tinyurl.com/4k6xsynw" TargetMode="External"/><Relationship Id="rId59" Type="http://schemas.openxmlformats.org/officeDocument/2006/relationships/hyperlink" Target="https://tinyurl.com/mr4x8abb" TargetMode="External"/><Relationship Id="rId20" Type="http://schemas.openxmlformats.org/officeDocument/2006/relationships/hyperlink" Target="https://tinyurl.com/2ap3zd6h" TargetMode="External"/><Relationship Id="rId41" Type="http://schemas.openxmlformats.org/officeDocument/2006/relationships/hyperlink" Target="https://tinyurl.com/2fsx86y7" TargetMode="External"/><Relationship Id="rId54" Type="http://schemas.openxmlformats.org/officeDocument/2006/relationships/hyperlink" Target="https://tinyurl.com/ycxt8w75" TargetMode="External"/><Relationship Id="rId62" Type="http://schemas.openxmlformats.org/officeDocument/2006/relationships/hyperlink" Target="https://tinyurl.com/2cfjryb8" TargetMode="External"/><Relationship Id="rId1" Type="http://schemas.openxmlformats.org/officeDocument/2006/relationships/hyperlink" Target="https://tinyurl.com/3ssbzk4e" TargetMode="External"/><Relationship Id="rId6" Type="http://schemas.openxmlformats.org/officeDocument/2006/relationships/hyperlink" Target="https://tinyurl.com/432hf762" TargetMode="External"/><Relationship Id="rId15" Type="http://schemas.openxmlformats.org/officeDocument/2006/relationships/hyperlink" Target="https://tinyurl.com/4nyfxhhb" TargetMode="External"/><Relationship Id="rId23" Type="http://schemas.openxmlformats.org/officeDocument/2006/relationships/hyperlink" Target="https://tinyurl.com/8r6ay468" TargetMode="External"/><Relationship Id="rId28" Type="http://schemas.openxmlformats.org/officeDocument/2006/relationships/hyperlink" Target="https://tinyurl.com/2p98n6ps" TargetMode="External"/><Relationship Id="rId36" Type="http://schemas.openxmlformats.org/officeDocument/2006/relationships/hyperlink" Target="https://tinyurl.com/4kymf6y8" TargetMode="External"/><Relationship Id="rId49" Type="http://schemas.openxmlformats.org/officeDocument/2006/relationships/hyperlink" Target="https://tinyurl.com/2s846dmk" TargetMode="External"/><Relationship Id="rId57" Type="http://schemas.openxmlformats.org/officeDocument/2006/relationships/hyperlink" Target="https://tinyurl.com/3zcamv69" TargetMode="External"/><Relationship Id="rId10" Type="http://schemas.openxmlformats.org/officeDocument/2006/relationships/hyperlink" Target="https://tinyurl.com/y68ysvs9" TargetMode="External"/><Relationship Id="rId31" Type="http://schemas.openxmlformats.org/officeDocument/2006/relationships/hyperlink" Target="https://tinyurl.com/37pr5394" TargetMode="External"/><Relationship Id="rId44" Type="http://schemas.openxmlformats.org/officeDocument/2006/relationships/hyperlink" Target="https://tinyurl.com/37da7ya9" TargetMode="External"/><Relationship Id="rId52" Type="http://schemas.openxmlformats.org/officeDocument/2006/relationships/hyperlink" Target="https://tinyurl.com/ye8e2nae" TargetMode="External"/><Relationship Id="rId60" Type="http://schemas.openxmlformats.org/officeDocument/2006/relationships/hyperlink" Target="https://tinyurl.com/2wby8est" TargetMode="External"/><Relationship Id="rId4" Type="http://schemas.openxmlformats.org/officeDocument/2006/relationships/hyperlink" Target="https://tinyurl.com/3zcamv69" TargetMode="External"/><Relationship Id="rId9" Type="http://schemas.openxmlformats.org/officeDocument/2006/relationships/hyperlink" Target="https://tinyurl.com/34h69m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092E379320E42A7DB3AF95576C2AA" ma:contentTypeVersion="1" ma:contentTypeDescription="Create a new document." ma:contentTypeScope="" ma:versionID="8b990ea7749a34adaa48298c1728ead9">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7D9AC-2656-47D1-86C0-872502E989E0}">
  <ds:schemaRefs>
    <ds:schemaRef ds:uri="http://schemas.microsoft.com/sharepoint/v3/contenttype/forms"/>
  </ds:schemaRefs>
</ds:datastoreItem>
</file>

<file path=customXml/itemProps2.xml><?xml version="1.0" encoding="utf-8"?>
<ds:datastoreItem xmlns:ds="http://schemas.openxmlformats.org/officeDocument/2006/customXml" ds:itemID="{A0B6FF58-E317-48EE-A492-67DF50AAAFB2}"/>
</file>

<file path=customXml/itemProps3.xml><?xml version="1.0" encoding="utf-8"?>
<ds:datastoreItem xmlns:ds="http://schemas.openxmlformats.org/officeDocument/2006/customXml" ds:itemID="{A4939B88-11AD-4382-8A6A-B30E12A8D8EE}">
  <ds:schemaRefs>
    <ds:schemaRef ds:uri="http://schemas.openxmlformats.org/officeDocument/2006/bibliography"/>
  </ds:schemaRefs>
</ds:datastoreItem>
</file>

<file path=customXml/itemProps4.xml><?xml version="1.0" encoding="utf-8"?>
<ds:datastoreItem xmlns:ds="http://schemas.openxmlformats.org/officeDocument/2006/customXml" ds:itemID="{B010A844-48C9-41F5-BC9B-37D21016C2ED}">
  <ds:schemaRefs>
    <ds:schemaRef ds:uri="http://schemas.microsoft.com/sharepoint/events"/>
  </ds:schemaRefs>
</ds:datastoreItem>
</file>

<file path=customXml/itemProps5.xml><?xml version="1.0" encoding="utf-8"?>
<ds:datastoreItem xmlns:ds="http://schemas.openxmlformats.org/officeDocument/2006/customXml" ds:itemID="{A4089FA1-C676-4974-A511-2ACFFA1E0ED2}">
  <ds:schemaRefs>
    <ds:schemaRef ds:uri="http://schemas.microsoft.com/office/2006/metadata/properties"/>
    <ds:schemaRef ds:uri="http://schemas.microsoft.com/office/infopath/2007/PartnerControls"/>
    <ds:schemaRef ds:uri="81cc9c09-bb46-4b92-88e9-5234f47f82a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10916</Words>
  <Characters>62223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 DMS Reentry 1115 Waiver Application</dc:title>
  <dc:creator>Jessica Schubel</dc:creator>
  <cp:lastModifiedBy>Sparrow, Angela (CHFS DMS)</cp:lastModifiedBy>
  <cp:revision>2</cp:revision>
  <cp:lastPrinted>2023-11-09T18:04:00Z</cp:lastPrinted>
  <dcterms:created xsi:type="dcterms:W3CDTF">2023-11-16T15:02:00Z</dcterms:created>
  <dcterms:modified xsi:type="dcterms:W3CDTF">2023-11-16T15:02:00Z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2012-10-09T00:00:00Z</vt:filetime>
  </property>
  <property fmtid="{D5CDD505-2E9C-101B-9397-08002B2CF9AE}" pid="3" name="LastSaved">
    <vt:filetime>2014-10-09T00:00:00Z</vt:filetime>
  </property>
  <property fmtid="{D5CDD505-2E9C-101B-9397-08002B2CF9AE}" pid="4" name="ContentTypeId">
    <vt:lpwstr>0x010100B49092E379320E42A7DB3AF95576C2AA</vt:lpwstr>
  </property>
  <property fmtid="{D5CDD505-2E9C-101B-9397-08002B2CF9AE}" pid="5" name="_dlc_DocIdItemGuid">
    <vt:lpwstr>edea9e3d-1b99-4581-a045-de6d51b757ed</vt:lpwstr>
  </property>
</Properties>
</file>