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78" w:rsidRPr="002D3E3D" w:rsidRDefault="001C2F78" w:rsidP="001C2F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t xml:space="preserve">Rotavirus </w:t>
      </w:r>
      <w:r w:rsidRPr="002D3E3D">
        <w:rPr>
          <w:rFonts w:ascii="Times New Roman Bold" w:hAnsi="Times New Roman Bold"/>
          <w:b/>
          <w:sz w:val="28"/>
          <w:szCs w:val="28"/>
        </w:rPr>
        <w:t>(RV5)</w:t>
      </w:r>
      <w:r w:rsidRPr="002D3E3D">
        <w:rPr>
          <w:b/>
          <w:sz w:val="28"/>
          <w:szCs w:val="28"/>
        </w:rPr>
        <w:t xml:space="preserve"> Vaccine, </w:t>
      </w:r>
      <w:proofErr w:type="spellStart"/>
      <w:r w:rsidRPr="002D3E3D">
        <w:rPr>
          <w:b/>
          <w:sz w:val="28"/>
          <w:szCs w:val="28"/>
        </w:rPr>
        <w:t>RotaTeq</w:t>
      </w:r>
      <w:proofErr w:type="spellEnd"/>
      <w:r w:rsidRPr="002D3E3D">
        <w:rPr>
          <w:b/>
          <w:sz w:val="28"/>
          <w:szCs w:val="28"/>
        </w:rPr>
        <w:t>®</w:t>
      </w:r>
    </w:p>
    <w:p w:rsidR="001C2F78" w:rsidRDefault="001C2F78" w:rsidP="001C2F78">
      <w:pPr>
        <w:rPr>
          <w:b/>
          <w:u w:val="single"/>
        </w:rPr>
      </w:pPr>
    </w:p>
    <w:p w:rsidR="001C2F78" w:rsidRPr="0074546F" w:rsidRDefault="001C2F78" w:rsidP="001C2F78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74546F">
        <w:rPr>
          <w:b/>
          <w:u w:val="single"/>
        </w:rPr>
        <w:t>Precautions and Contraindications</w:t>
      </w:r>
    </w:p>
    <w:p w:rsidR="001C2F78" w:rsidRPr="0074546F" w:rsidRDefault="001C2F78" w:rsidP="001C2F78">
      <w:pPr>
        <w:autoSpaceDE w:val="0"/>
        <w:autoSpaceDN w:val="0"/>
        <w:adjustRightInd w:val="0"/>
        <w:spacing w:after="120"/>
      </w:pPr>
      <w:r w:rsidRPr="0074546F">
        <w:t>Screen all patients for precautions and contraindications to immunization.</w:t>
      </w:r>
    </w:p>
    <w:p w:rsidR="001C2F78" w:rsidRPr="002D3E3D" w:rsidRDefault="001C2F78" w:rsidP="001C2F78">
      <w:pPr>
        <w:widowControl w:val="0"/>
        <w:rPr>
          <w:b/>
          <w:bCs/>
        </w:rPr>
      </w:pPr>
    </w:p>
    <w:p w:rsidR="001C2F78" w:rsidRPr="002D3E3D" w:rsidRDefault="001C2F78" w:rsidP="001C2F78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Recommended Schedule</w:t>
      </w:r>
    </w:p>
    <w:p w:rsidR="001C2F78" w:rsidRPr="002D3E3D" w:rsidRDefault="001C2F78" w:rsidP="001C2F78">
      <w:pPr>
        <w:numPr>
          <w:ilvl w:val="0"/>
          <w:numId w:val="1"/>
        </w:numPr>
        <w:autoSpaceDE w:val="0"/>
        <w:autoSpaceDN w:val="0"/>
        <w:adjustRightInd w:val="0"/>
        <w:rPr>
          <w:sz w:val="16"/>
          <w:szCs w:val="16"/>
        </w:rPr>
      </w:pPr>
      <w:r w:rsidRPr="002D3E3D">
        <w:t xml:space="preserve">The vaccination series consists of three ready-to-use liquid doses of </w:t>
      </w:r>
      <w:proofErr w:type="spellStart"/>
      <w:r w:rsidRPr="001C2F78">
        <w:rPr>
          <w:b/>
        </w:rPr>
        <w:t>RotaTeq</w:t>
      </w:r>
      <w:proofErr w:type="spellEnd"/>
      <w:r w:rsidRPr="002D3E3D">
        <w:t>® administered orally at 6 to 12 weeks of age, with the subsequent doses administered at 4</w:t>
      </w:r>
      <w:r>
        <w:t> </w:t>
      </w:r>
      <w:r w:rsidRPr="002D3E3D">
        <w:t xml:space="preserve">to 10-week intervals.  The third dose </w:t>
      </w:r>
      <w:proofErr w:type="gramStart"/>
      <w:r w:rsidRPr="002D3E3D">
        <w:t>should not be given</w:t>
      </w:r>
      <w:proofErr w:type="gramEnd"/>
      <w:r w:rsidRPr="002D3E3D">
        <w:t xml:space="preserve"> after 32 weeks of age.  </w:t>
      </w:r>
      <w:r w:rsidRPr="002D3E3D">
        <w:br/>
      </w:r>
      <w:r w:rsidRPr="002D3E3D">
        <w:rPr>
          <w:sz w:val="16"/>
          <w:szCs w:val="16"/>
        </w:rPr>
        <w:t xml:space="preserve"> </w:t>
      </w:r>
    </w:p>
    <w:p w:rsidR="001C2F78" w:rsidRPr="002D3E3D" w:rsidRDefault="001C2F78" w:rsidP="001C2F78">
      <w:pPr>
        <w:autoSpaceDE w:val="0"/>
        <w:autoSpaceDN w:val="0"/>
        <w:adjustRightInd w:val="0"/>
        <w:spacing w:after="120"/>
        <w:rPr>
          <w:b/>
        </w:rPr>
      </w:pPr>
      <w:r w:rsidRPr="002D3E3D">
        <w:rPr>
          <w:b/>
          <w:u w:val="single"/>
        </w:rPr>
        <w:t>Dosage and Route</w:t>
      </w:r>
      <w:r w:rsidRPr="002D3E3D">
        <w:rPr>
          <w:b/>
        </w:rPr>
        <w:tab/>
        <w:t>FOR ORAL USE ONLY.  DO NOT INJECT.</w:t>
      </w:r>
    </w:p>
    <w:p w:rsidR="001C2F78" w:rsidRPr="002D3E3D" w:rsidRDefault="001C2F78" w:rsidP="001C2F78">
      <w:pPr>
        <w:autoSpaceDE w:val="0"/>
        <w:autoSpaceDN w:val="0"/>
        <w:adjustRightInd w:val="0"/>
        <w:ind w:firstLine="360"/>
      </w:pPr>
      <w:r w:rsidRPr="002D3E3D">
        <w:t>To administer the vaccine:</w:t>
      </w:r>
    </w:p>
    <w:p w:rsidR="001C2F78" w:rsidRPr="002D3E3D" w:rsidRDefault="001C2F78" w:rsidP="001C2F78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>Tear open the pouch and remove the dosing tube</w:t>
      </w:r>
    </w:p>
    <w:p w:rsidR="001C2F78" w:rsidRPr="002D3E3D" w:rsidRDefault="001C2F78" w:rsidP="001C2F78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>Clear the fluid from the dispensing tip by holding tube vertically and tapping the cap</w:t>
      </w:r>
    </w:p>
    <w:p w:rsidR="001C2F78" w:rsidRPr="002D3E3D" w:rsidRDefault="001C2F78" w:rsidP="001C2F78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>Puncture the dispensing tip by screwing cap</w:t>
      </w:r>
      <w:r w:rsidRPr="002D3E3D">
        <w:rPr>
          <w:b/>
          <w:i/>
        </w:rPr>
        <w:t xml:space="preserve"> clockwise</w:t>
      </w:r>
      <w:r w:rsidRPr="002D3E3D">
        <w:t xml:space="preserve"> until it becomes tight</w:t>
      </w:r>
    </w:p>
    <w:p w:rsidR="001C2F78" w:rsidRPr="002D3E3D" w:rsidRDefault="001C2F78" w:rsidP="001C2F78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 xml:space="preserve">Remove cap by turning it </w:t>
      </w:r>
      <w:r w:rsidRPr="002D3E3D">
        <w:rPr>
          <w:b/>
          <w:i/>
        </w:rPr>
        <w:t>counterclockwise</w:t>
      </w:r>
    </w:p>
    <w:p w:rsidR="001C2F78" w:rsidRPr="002D3E3D" w:rsidRDefault="001C2F78" w:rsidP="001C2F78">
      <w:pPr>
        <w:numPr>
          <w:ilvl w:val="0"/>
          <w:numId w:val="1"/>
        </w:numPr>
        <w:autoSpaceDE w:val="0"/>
        <w:autoSpaceDN w:val="0"/>
        <w:adjustRightInd w:val="0"/>
      </w:pPr>
      <w:r w:rsidRPr="002D3E3D">
        <w:t>Administer dose by gently squeezing liquid into infant’s mouth toward the inner cheek until dosing tube is empty</w:t>
      </w:r>
    </w:p>
    <w:p w:rsidR="001C2F78" w:rsidRPr="002D3E3D" w:rsidRDefault="001C2F78" w:rsidP="001C2F78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:rsidR="001C2F78" w:rsidRPr="002D3E3D" w:rsidRDefault="001C2F78" w:rsidP="001C2F78">
      <w:pPr>
        <w:tabs>
          <w:tab w:val="left" w:pos="3780"/>
        </w:tabs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 xml:space="preserve">Anatomical Site </w:t>
      </w:r>
    </w:p>
    <w:p w:rsidR="001C2F78" w:rsidRPr="002D3E3D" w:rsidRDefault="001C2F78" w:rsidP="001C2F78">
      <w:pPr>
        <w:numPr>
          <w:ilvl w:val="0"/>
          <w:numId w:val="4"/>
        </w:numPr>
        <w:autoSpaceDE w:val="0"/>
        <w:autoSpaceDN w:val="0"/>
        <w:adjustRightInd w:val="0"/>
        <w:spacing w:after="120"/>
      </w:pPr>
      <w:r w:rsidRPr="002D3E3D">
        <w:t>Mouth/inner cheek</w:t>
      </w:r>
    </w:p>
    <w:p w:rsidR="001C2F78" w:rsidRDefault="001C2F78" w:rsidP="001C2F78">
      <w:pPr>
        <w:autoSpaceDE w:val="0"/>
        <w:autoSpaceDN w:val="0"/>
        <w:adjustRightInd w:val="0"/>
        <w:rPr>
          <w:b/>
          <w:u w:val="single"/>
        </w:rPr>
      </w:pPr>
    </w:p>
    <w:p w:rsidR="001C2F78" w:rsidRPr="002D3E3D" w:rsidRDefault="001C2F78" w:rsidP="001C2F78">
      <w:pPr>
        <w:autoSpaceDE w:val="0"/>
        <w:autoSpaceDN w:val="0"/>
        <w:adjustRightInd w:val="0"/>
        <w:rPr>
          <w:b/>
          <w:u w:val="single"/>
        </w:rPr>
      </w:pPr>
      <w:r w:rsidRPr="002D3E3D">
        <w:rPr>
          <w:b/>
          <w:u w:val="single"/>
        </w:rPr>
        <w:t>Precautions</w:t>
      </w:r>
    </w:p>
    <w:p w:rsidR="001C2F78" w:rsidRPr="002D3E3D" w:rsidRDefault="001C2F78" w:rsidP="001C2F78">
      <w:pPr>
        <w:autoSpaceDE w:val="0"/>
        <w:autoSpaceDN w:val="0"/>
        <w:adjustRightInd w:val="0"/>
        <w:rPr>
          <w:b/>
          <w:u w:val="single"/>
        </w:rPr>
      </w:pPr>
    </w:p>
    <w:p w:rsidR="001C2F78" w:rsidRPr="002D3E3D" w:rsidRDefault="001C2F78" w:rsidP="001C2F78">
      <w:pPr>
        <w:numPr>
          <w:ilvl w:val="0"/>
          <w:numId w:val="4"/>
        </w:numPr>
        <w:autoSpaceDE w:val="0"/>
        <w:autoSpaceDN w:val="0"/>
        <w:adjustRightInd w:val="0"/>
      </w:pPr>
      <w:r w:rsidRPr="002D3E3D">
        <w:rPr>
          <w:b/>
          <w:bCs/>
        </w:rPr>
        <w:t>Immunocompromised populations.</w:t>
      </w:r>
      <w:r w:rsidRPr="002D3E3D">
        <w:rPr>
          <w:bCs/>
        </w:rPr>
        <w:t xml:space="preserve">  </w:t>
      </w:r>
      <w:r w:rsidRPr="002D3E3D">
        <w:t xml:space="preserve">No safety or efficacy data are available from clinical trials regarding the administration of </w:t>
      </w:r>
      <w:proofErr w:type="spellStart"/>
      <w:r w:rsidRPr="001C2F78">
        <w:rPr>
          <w:b/>
        </w:rPr>
        <w:t>RotaTeq</w:t>
      </w:r>
      <w:proofErr w:type="spellEnd"/>
      <w:r w:rsidRPr="002D3E3D">
        <w:t>® to infants who are potentially immunocompromised including:</w:t>
      </w:r>
    </w:p>
    <w:p w:rsidR="001C2F78" w:rsidRPr="002D3E3D" w:rsidRDefault="001C2F78" w:rsidP="001C2F78">
      <w:pPr>
        <w:numPr>
          <w:ilvl w:val="1"/>
          <w:numId w:val="4"/>
        </w:numPr>
        <w:autoSpaceDE w:val="0"/>
        <w:autoSpaceDN w:val="0"/>
        <w:adjustRightInd w:val="0"/>
      </w:pPr>
      <w:r w:rsidRPr="002D3E3D">
        <w:rPr>
          <w:bCs/>
        </w:rPr>
        <w:t xml:space="preserve">Infants with blood </w:t>
      </w:r>
      <w:proofErr w:type="spellStart"/>
      <w:r w:rsidRPr="002D3E3D">
        <w:rPr>
          <w:bCs/>
        </w:rPr>
        <w:t>dyscrasias</w:t>
      </w:r>
      <w:proofErr w:type="spellEnd"/>
      <w:r w:rsidRPr="002D3E3D">
        <w:rPr>
          <w:bCs/>
        </w:rPr>
        <w:t>, leukemia, lymphomas of any type or other malignant neoplasms affecting the bone marrow or lymphatic system.</w:t>
      </w:r>
    </w:p>
    <w:p w:rsidR="001C2F78" w:rsidRPr="002D3E3D" w:rsidRDefault="001C2F78" w:rsidP="001C2F78">
      <w:pPr>
        <w:numPr>
          <w:ilvl w:val="1"/>
          <w:numId w:val="4"/>
        </w:numPr>
        <w:autoSpaceDE w:val="0"/>
        <w:autoSpaceDN w:val="0"/>
        <w:adjustRightInd w:val="0"/>
      </w:pPr>
      <w:r w:rsidRPr="002D3E3D">
        <w:rPr>
          <w:bCs/>
        </w:rPr>
        <w:t xml:space="preserve">Infants on immunosuppressive therapy (including high-dose systemic corticosteroids).  </w:t>
      </w:r>
      <w:proofErr w:type="spellStart"/>
      <w:r w:rsidRPr="001C2F78">
        <w:rPr>
          <w:b/>
          <w:bCs/>
        </w:rPr>
        <w:t>RotaTeq</w:t>
      </w:r>
      <w:proofErr w:type="spellEnd"/>
      <w:r w:rsidRPr="002D3E3D">
        <w:rPr>
          <w:bCs/>
        </w:rPr>
        <w:t xml:space="preserve">® </w:t>
      </w:r>
      <w:proofErr w:type="gramStart"/>
      <w:r w:rsidRPr="002D3E3D">
        <w:rPr>
          <w:bCs/>
        </w:rPr>
        <w:t>may be administered</w:t>
      </w:r>
      <w:proofErr w:type="gramEnd"/>
      <w:r w:rsidRPr="002D3E3D">
        <w:rPr>
          <w:bCs/>
        </w:rPr>
        <w:t xml:space="preserve"> to infants who are being treated with topical corticosteroids or inhaled steroids.</w:t>
      </w:r>
    </w:p>
    <w:p w:rsidR="001C2F78" w:rsidRPr="002D3E3D" w:rsidRDefault="001C2F78" w:rsidP="001C2F78">
      <w:pPr>
        <w:numPr>
          <w:ilvl w:val="1"/>
          <w:numId w:val="4"/>
        </w:numPr>
        <w:autoSpaceDE w:val="0"/>
        <w:autoSpaceDN w:val="0"/>
        <w:adjustRightInd w:val="0"/>
      </w:pPr>
      <w:r w:rsidRPr="002D3E3D">
        <w:rPr>
          <w:bCs/>
        </w:rPr>
        <w:t xml:space="preserve">Infants with primary and acquired immunodeficiency states, including HIV/AIDS or other clinical manifestations of infection with human immunodeficiency viruses; cellular immune deficiencies; and </w:t>
      </w:r>
      <w:proofErr w:type="spellStart"/>
      <w:r w:rsidRPr="002D3E3D">
        <w:rPr>
          <w:bCs/>
        </w:rPr>
        <w:t>hypogammaglobulinemic</w:t>
      </w:r>
      <w:proofErr w:type="spellEnd"/>
      <w:r w:rsidRPr="002D3E3D">
        <w:rPr>
          <w:bCs/>
        </w:rPr>
        <w:t xml:space="preserve"> and </w:t>
      </w:r>
      <w:proofErr w:type="spellStart"/>
      <w:r w:rsidRPr="002D3E3D">
        <w:rPr>
          <w:bCs/>
        </w:rPr>
        <w:t>dysgammaglobulinemic</w:t>
      </w:r>
      <w:proofErr w:type="spellEnd"/>
      <w:r w:rsidRPr="002D3E3D">
        <w:rPr>
          <w:bCs/>
        </w:rPr>
        <w:t xml:space="preserve"> states.  There are insufficient data from clinical trials to support administration of </w:t>
      </w:r>
      <w:proofErr w:type="spellStart"/>
      <w:r w:rsidRPr="001C2F78">
        <w:rPr>
          <w:b/>
          <w:bCs/>
        </w:rPr>
        <w:t>RotaTeq</w:t>
      </w:r>
      <w:proofErr w:type="spellEnd"/>
      <w:r w:rsidRPr="002D3E3D">
        <w:rPr>
          <w:bCs/>
        </w:rPr>
        <w:t>® to infants with indeterminate HIV status who are born to mothers with HIV/AIDS.</w:t>
      </w:r>
    </w:p>
    <w:p w:rsidR="001C2F78" w:rsidRPr="002D3E3D" w:rsidRDefault="001C2F78" w:rsidP="001C2F78">
      <w:pPr>
        <w:numPr>
          <w:ilvl w:val="1"/>
          <w:numId w:val="4"/>
        </w:numPr>
        <w:autoSpaceDE w:val="0"/>
        <w:autoSpaceDN w:val="0"/>
        <w:adjustRightInd w:val="0"/>
      </w:pPr>
      <w:r w:rsidRPr="002D3E3D">
        <w:rPr>
          <w:bCs/>
        </w:rPr>
        <w:t>Infants who have received a blood transfusion or blood products, including immunoglobulins within 42 days.</w:t>
      </w:r>
    </w:p>
    <w:p w:rsidR="001C2F78" w:rsidRPr="002D3E3D" w:rsidRDefault="001C2F78" w:rsidP="001C2F78">
      <w:pPr>
        <w:keepNext/>
        <w:keepLines/>
        <w:numPr>
          <w:ilvl w:val="0"/>
          <w:numId w:val="4"/>
        </w:numPr>
        <w:autoSpaceDE w:val="0"/>
        <w:autoSpaceDN w:val="0"/>
        <w:adjustRightInd w:val="0"/>
      </w:pPr>
      <w:r w:rsidRPr="002D3E3D">
        <w:rPr>
          <w:b/>
          <w:bCs/>
        </w:rPr>
        <w:lastRenderedPageBreak/>
        <w:t xml:space="preserve">Gastrointestinal Illness.  </w:t>
      </w:r>
      <w:r w:rsidRPr="002D3E3D">
        <w:t xml:space="preserve">No safety or efficacy data are available for administration of </w:t>
      </w:r>
      <w:proofErr w:type="spellStart"/>
      <w:r w:rsidRPr="001C2F78">
        <w:rPr>
          <w:b/>
        </w:rPr>
        <w:t>RotaTeq</w:t>
      </w:r>
      <w:proofErr w:type="spellEnd"/>
      <w:r w:rsidRPr="002D3E3D">
        <w:rPr>
          <w:bCs/>
        </w:rPr>
        <w:t>®</w:t>
      </w:r>
      <w:r w:rsidRPr="002D3E3D">
        <w:t xml:space="preserve"> to infants with </w:t>
      </w:r>
      <w:r w:rsidRPr="002D3E3D">
        <w:rPr>
          <w:bCs/>
        </w:rPr>
        <w:t xml:space="preserve">a history of gastrointestinal disorders including infants with active acute gastrointestinal illness, infants with chronic diarrhea and failure to thrive, and infants with a history of congenital abdominal disorders, and abdominal surgery.  </w:t>
      </w:r>
      <w:r w:rsidRPr="002D3E3D">
        <w:t xml:space="preserve">Caution </w:t>
      </w:r>
      <w:proofErr w:type="gramStart"/>
      <w:r w:rsidRPr="002D3E3D">
        <w:t>is advised</w:t>
      </w:r>
      <w:proofErr w:type="gramEnd"/>
      <w:r w:rsidRPr="002D3E3D">
        <w:t xml:space="preserve"> when considering administration of </w:t>
      </w:r>
      <w:proofErr w:type="spellStart"/>
      <w:r w:rsidRPr="001C2F78">
        <w:rPr>
          <w:b/>
        </w:rPr>
        <w:t>RotaTeq</w:t>
      </w:r>
      <w:proofErr w:type="spellEnd"/>
      <w:r w:rsidRPr="002D3E3D">
        <w:rPr>
          <w:bCs/>
        </w:rPr>
        <w:t>®</w:t>
      </w:r>
      <w:r w:rsidRPr="002D3E3D">
        <w:t xml:space="preserve"> to these infants.</w:t>
      </w:r>
    </w:p>
    <w:p w:rsidR="001C2F78" w:rsidRPr="002D3E3D" w:rsidRDefault="001C2F78" w:rsidP="001C2F78">
      <w:pPr>
        <w:numPr>
          <w:ilvl w:val="0"/>
          <w:numId w:val="4"/>
        </w:numPr>
        <w:autoSpaceDE w:val="0"/>
        <w:autoSpaceDN w:val="0"/>
        <w:adjustRightInd w:val="0"/>
      </w:pPr>
      <w:r w:rsidRPr="002D3E3D">
        <w:rPr>
          <w:b/>
          <w:bCs/>
        </w:rPr>
        <w:t>Intussusception.</w:t>
      </w:r>
      <w:r w:rsidRPr="002D3E3D">
        <w:t xml:space="preserve">  An increased risk of intussusception following administration of </w:t>
      </w:r>
      <w:proofErr w:type="spellStart"/>
      <w:r w:rsidRPr="001C2F78">
        <w:rPr>
          <w:b/>
        </w:rPr>
        <w:t>RotaTeq</w:t>
      </w:r>
      <w:proofErr w:type="spellEnd"/>
      <w:r w:rsidRPr="002D3E3D">
        <w:rPr>
          <w:bCs/>
        </w:rPr>
        <w:t>®</w:t>
      </w:r>
      <w:r w:rsidRPr="002D3E3D">
        <w:t xml:space="preserve"> </w:t>
      </w:r>
      <w:proofErr w:type="gramStart"/>
      <w:r w:rsidRPr="002D3E3D">
        <w:t>was observed</w:t>
      </w:r>
      <w:proofErr w:type="gramEnd"/>
      <w:r w:rsidRPr="002D3E3D">
        <w:t xml:space="preserve"> in some, but not all, </w:t>
      </w:r>
      <w:proofErr w:type="spellStart"/>
      <w:r w:rsidRPr="002D3E3D">
        <w:t>postmarketing</w:t>
      </w:r>
      <w:proofErr w:type="spellEnd"/>
      <w:r w:rsidRPr="002D3E3D">
        <w:t xml:space="preserve"> studies, particularly during the first week following the first dose of vaccine.</w:t>
      </w:r>
    </w:p>
    <w:p w:rsidR="001C2F78" w:rsidRPr="002D3E3D" w:rsidRDefault="001C2F78" w:rsidP="001C2F78">
      <w:pPr>
        <w:numPr>
          <w:ilvl w:val="0"/>
          <w:numId w:val="4"/>
        </w:numPr>
        <w:autoSpaceDE w:val="0"/>
        <w:autoSpaceDN w:val="0"/>
        <w:adjustRightInd w:val="0"/>
      </w:pPr>
      <w:r w:rsidRPr="002D3E3D">
        <w:rPr>
          <w:b/>
        </w:rPr>
        <w:t>Febrile illness</w:t>
      </w:r>
      <w:r w:rsidRPr="002D3E3D">
        <w:t xml:space="preserve">.  </w:t>
      </w:r>
      <w:r w:rsidRPr="002D3E3D">
        <w:rPr>
          <w:bCs/>
        </w:rPr>
        <w:t>Low-grade fever (&lt;100.5 F) itself and mild upper respiratory infection do not preclude vaccination.</w:t>
      </w:r>
    </w:p>
    <w:p w:rsidR="001C2F78" w:rsidRPr="002D3E3D" w:rsidRDefault="001C2F78" w:rsidP="001C2F78">
      <w:pPr>
        <w:ind w:left="720"/>
        <w:contextualSpacing/>
      </w:pPr>
    </w:p>
    <w:p w:rsidR="001C2F78" w:rsidRPr="002D3E3D" w:rsidRDefault="001C2F78" w:rsidP="001C2F78">
      <w:pPr>
        <w:keepNext/>
        <w:keepLines/>
        <w:autoSpaceDE w:val="0"/>
        <w:autoSpaceDN w:val="0"/>
        <w:adjustRightInd w:val="0"/>
        <w:rPr>
          <w:b/>
          <w:u w:val="single"/>
        </w:rPr>
      </w:pPr>
      <w:r w:rsidRPr="002D3E3D">
        <w:rPr>
          <w:b/>
          <w:u w:val="single"/>
        </w:rPr>
        <w:t>Precautions (continued)</w:t>
      </w:r>
    </w:p>
    <w:p w:rsidR="001C2F78" w:rsidRPr="002D3E3D" w:rsidRDefault="001C2F78" w:rsidP="001C2F78">
      <w:pPr>
        <w:keepNext/>
        <w:keepLines/>
        <w:autoSpaceDE w:val="0"/>
        <w:autoSpaceDN w:val="0"/>
        <w:adjustRightInd w:val="0"/>
        <w:rPr>
          <w:b/>
          <w:u w:val="single"/>
        </w:rPr>
      </w:pPr>
    </w:p>
    <w:p w:rsidR="001C2F78" w:rsidRPr="002D3E3D" w:rsidRDefault="001C2F78" w:rsidP="001C2F78">
      <w:pPr>
        <w:keepNext/>
        <w:keepLines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2D3E3D">
        <w:rPr>
          <w:b/>
        </w:rPr>
        <w:t>Immunodeficient</w:t>
      </w:r>
      <w:proofErr w:type="spellEnd"/>
      <w:r w:rsidRPr="002D3E3D">
        <w:rPr>
          <w:b/>
        </w:rPr>
        <w:t xml:space="preserve"> close contacts</w:t>
      </w:r>
      <w:r w:rsidRPr="002D3E3D">
        <w:t xml:space="preserve">.  Caution is advised when considering whether to administer </w:t>
      </w:r>
      <w:proofErr w:type="spellStart"/>
      <w:r w:rsidRPr="002D3E3D">
        <w:t>RotaTeq</w:t>
      </w:r>
      <w:proofErr w:type="spellEnd"/>
      <w:r w:rsidRPr="002D3E3D">
        <w:rPr>
          <w:bCs/>
        </w:rPr>
        <w:t>®</w:t>
      </w:r>
      <w:r w:rsidRPr="002D3E3D">
        <w:t xml:space="preserve">  to individuals with </w:t>
      </w:r>
      <w:proofErr w:type="spellStart"/>
      <w:r w:rsidRPr="002D3E3D">
        <w:t>immunodeficient</w:t>
      </w:r>
      <w:proofErr w:type="spellEnd"/>
      <w:r w:rsidRPr="002D3E3D">
        <w:t xml:space="preserve"> close contacts such as:</w:t>
      </w:r>
    </w:p>
    <w:p w:rsidR="001C2F78" w:rsidRPr="002D3E3D" w:rsidRDefault="001C2F78" w:rsidP="001C2F78">
      <w:pPr>
        <w:keepNext/>
        <w:keepLines/>
        <w:numPr>
          <w:ilvl w:val="1"/>
          <w:numId w:val="4"/>
        </w:numPr>
        <w:autoSpaceDE w:val="0"/>
        <w:autoSpaceDN w:val="0"/>
        <w:adjustRightInd w:val="0"/>
      </w:pPr>
      <w:r w:rsidRPr="002D3E3D">
        <w:t>Individuals with malignancies or who are otherwise immunocompromised</w:t>
      </w:r>
    </w:p>
    <w:p w:rsidR="001C2F78" w:rsidRPr="002D3E3D" w:rsidRDefault="001C2F78" w:rsidP="001C2F78">
      <w:pPr>
        <w:numPr>
          <w:ilvl w:val="1"/>
          <w:numId w:val="4"/>
        </w:numPr>
        <w:autoSpaceDE w:val="0"/>
        <w:autoSpaceDN w:val="0"/>
        <w:adjustRightInd w:val="0"/>
      </w:pPr>
      <w:r w:rsidRPr="002D3E3D">
        <w:t>Individuals with primary immunodeficiency; or</w:t>
      </w:r>
    </w:p>
    <w:p w:rsidR="001C2F78" w:rsidRPr="002D3E3D" w:rsidRDefault="001C2F78" w:rsidP="001C2F78">
      <w:pPr>
        <w:numPr>
          <w:ilvl w:val="1"/>
          <w:numId w:val="4"/>
        </w:numPr>
        <w:autoSpaceDE w:val="0"/>
        <w:autoSpaceDN w:val="0"/>
        <w:adjustRightInd w:val="0"/>
      </w:pPr>
      <w:r w:rsidRPr="002D3E3D">
        <w:t>Individuals receiving immunosuppressive therapy.</w:t>
      </w:r>
    </w:p>
    <w:p w:rsidR="001C2F78" w:rsidRPr="002D3E3D" w:rsidRDefault="001C2F78" w:rsidP="001C2F78">
      <w:pPr>
        <w:autoSpaceDE w:val="0"/>
        <w:autoSpaceDN w:val="0"/>
        <w:adjustRightInd w:val="0"/>
        <w:ind w:left="720"/>
      </w:pPr>
    </w:p>
    <w:p w:rsidR="001C2F78" w:rsidRPr="002D3E3D" w:rsidRDefault="001C2F78" w:rsidP="001C2F78">
      <w:pPr>
        <w:keepNext/>
        <w:keepLines/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Contraindications</w:t>
      </w:r>
    </w:p>
    <w:p w:rsidR="001C2F78" w:rsidRPr="002D3E3D" w:rsidRDefault="001C2F78" w:rsidP="001C2F78">
      <w:pPr>
        <w:keepNext/>
        <w:keepLines/>
        <w:autoSpaceDE w:val="0"/>
        <w:autoSpaceDN w:val="0"/>
        <w:adjustRightInd w:val="0"/>
      </w:pPr>
      <w:r w:rsidRPr="002D3E3D">
        <w:rPr>
          <w:b/>
        </w:rPr>
        <w:t>DO NOT</w:t>
      </w:r>
      <w:r w:rsidRPr="002D3E3D">
        <w:t xml:space="preserve"> administer to infants:</w:t>
      </w:r>
    </w:p>
    <w:p w:rsidR="001C2F78" w:rsidRPr="002D3E3D" w:rsidRDefault="001C2F78" w:rsidP="001C2F78">
      <w:pPr>
        <w:numPr>
          <w:ilvl w:val="0"/>
          <w:numId w:val="4"/>
        </w:numPr>
        <w:autoSpaceDE w:val="0"/>
        <w:autoSpaceDN w:val="0"/>
        <w:adjustRightInd w:val="0"/>
        <w:rPr>
          <w:b/>
          <w:u w:val="single"/>
        </w:rPr>
      </w:pPr>
      <w:r w:rsidRPr="002D3E3D">
        <w:t>With a history of severe allergic reaction (e.g. anaphylaxis) after a previous dose of rotavirus vaccine or exposure to a vaccine component.</w:t>
      </w:r>
    </w:p>
    <w:p w:rsidR="001C2F78" w:rsidRPr="002D3E3D" w:rsidRDefault="001C2F78" w:rsidP="001C2F78">
      <w:pPr>
        <w:numPr>
          <w:ilvl w:val="0"/>
          <w:numId w:val="4"/>
        </w:numPr>
        <w:autoSpaceDE w:val="0"/>
        <w:autoSpaceDN w:val="0"/>
        <w:adjustRightInd w:val="0"/>
        <w:rPr>
          <w:b/>
          <w:u w:val="single"/>
        </w:rPr>
      </w:pPr>
      <w:r w:rsidRPr="002D3E3D">
        <w:t>With Severe Combined Immunodeficiency Disease (SCID).</w:t>
      </w:r>
    </w:p>
    <w:p w:rsidR="001C2F78" w:rsidRPr="002D3E3D" w:rsidRDefault="001C2F78" w:rsidP="001C2F78">
      <w:pPr>
        <w:numPr>
          <w:ilvl w:val="0"/>
          <w:numId w:val="4"/>
        </w:numPr>
        <w:autoSpaceDE w:val="0"/>
        <w:autoSpaceDN w:val="0"/>
        <w:adjustRightInd w:val="0"/>
        <w:rPr>
          <w:b/>
          <w:u w:val="single"/>
        </w:rPr>
      </w:pPr>
      <w:r w:rsidRPr="002D3E3D">
        <w:t>With a history of intussusception.</w:t>
      </w:r>
    </w:p>
    <w:p w:rsidR="001C2F78" w:rsidRDefault="001C2F78" w:rsidP="001C2F78">
      <w:pPr>
        <w:autoSpaceDE w:val="0"/>
        <w:autoSpaceDN w:val="0"/>
        <w:adjustRightInd w:val="0"/>
        <w:rPr>
          <w:b/>
          <w:u w:val="single"/>
        </w:rPr>
      </w:pPr>
    </w:p>
    <w:p w:rsidR="001C2F78" w:rsidRPr="0074546F" w:rsidRDefault="001C2F78" w:rsidP="001C2F78">
      <w:pPr>
        <w:keepNext/>
        <w:keepLines/>
        <w:autoSpaceDE w:val="0"/>
        <w:autoSpaceDN w:val="0"/>
        <w:adjustRightInd w:val="0"/>
        <w:rPr>
          <w:b/>
          <w:u w:val="single"/>
        </w:rPr>
      </w:pPr>
      <w:r w:rsidRPr="0074546F">
        <w:rPr>
          <w:b/>
          <w:u w:val="single"/>
        </w:rPr>
        <w:t xml:space="preserve">Adverse Events </w:t>
      </w:r>
    </w:p>
    <w:p w:rsidR="001C2F78" w:rsidRDefault="001C2F78" w:rsidP="001C2F78">
      <w:pPr>
        <w:keepNext/>
        <w:keepLines/>
        <w:autoSpaceDE w:val="0"/>
        <w:autoSpaceDN w:val="0"/>
        <w:adjustRightInd w:val="0"/>
        <w:rPr>
          <w:szCs w:val="24"/>
        </w:rPr>
      </w:pPr>
    </w:p>
    <w:p w:rsidR="001C2F78" w:rsidRPr="000C75AE" w:rsidRDefault="001C2F78" w:rsidP="001C2F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C75AE">
        <w:rPr>
          <w:sz w:val="22"/>
          <w:szCs w:val="22"/>
        </w:rPr>
        <w:t>See the product’s package insert</w:t>
      </w:r>
    </w:p>
    <w:p w:rsidR="001C2F78" w:rsidRPr="000026F0" w:rsidRDefault="001C2F78" w:rsidP="001C2F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0026F0">
        <w:rPr>
          <w:szCs w:val="24"/>
        </w:rPr>
        <w:t>See Adverse Events Following Vaccinations page of this section</w:t>
      </w:r>
    </w:p>
    <w:p w:rsidR="001C2F78" w:rsidRPr="000C75AE" w:rsidRDefault="001C2F78" w:rsidP="001C2F78">
      <w:pPr>
        <w:pStyle w:val="ListParagraph"/>
        <w:autoSpaceDE w:val="0"/>
        <w:autoSpaceDN w:val="0"/>
        <w:adjustRightInd w:val="0"/>
        <w:rPr>
          <w:b/>
          <w:u w:val="single"/>
        </w:rPr>
      </w:pPr>
    </w:p>
    <w:p w:rsidR="001C2F78" w:rsidRPr="002D3E3D" w:rsidRDefault="001C2F78" w:rsidP="001C2F78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Storage and Handling</w:t>
      </w:r>
    </w:p>
    <w:p w:rsidR="001C2F78" w:rsidRPr="002D3E3D" w:rsidRDefault="001C2F78" w:rsidP="001C2F78">
      <w:pPr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2D3E3D">
        <w:t>Store in refrigerator at 36</w:t>
      </w:r>
      <w:r w:rsidRPr="002D3E3D">
        <w:rPr>
          <w:vertAlign w:val="superscript"/>
        </w:rPr>
        <w:t>o</w:t>
      </w:r>
      <w:r w:rsidRPr="002D3E3D">
        <w:t>F – 46</w:t>
      </w:r>
      <w:r w:rsidRPr="002D3E3D">
        <w:rPr>
          <w:vertAlign w:val="superscript"/>
        </w:rPr>
        <w:t>o</w:t>
      </w:r>
      <w:r w:rsidRPr="002D3E3D">
        <w:t>F (2</w:t>
      </w:r>
      <w:r w:rsidRPr="002D3E3D">
        <w:rPr>
          <w:vertAlign w:val="superscript"/>
        </w:rPr>
        <w:t>o</w:t>
      </w:r>
      <w:r w:rsidRPr="002D3E3D">
        <w:t>C – 8</w:t>
      </w:r>
      <w:r w:rsidRPr="002D3E3D">
        <w:rPr>
          <w:vertAlign w:val="superscript"/>
        </w:rPr>
        <w:t>o</w:t>
      </w:r>
      <w:r w:rsidRPr="002D3E3D">
        <w:t>C)</w:t>
      </w:r>
    </w:p>
    <w:p w:rsidR="001C2F78" w:rsidRPr="002D3E3D" w:rsidRDefault="001C2F78" w:rsidP="001C2F78">
      <w:pPr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2D3E3D">
        <w:t>Administer as soon as possible after being removed from refrigerator</w:t>
      </w:r>
    </w:p>
    <w:p w:rsidR="001C2F78" w:rsidRPr="002D3E3D" w:rsidRDefault="001C2F78" w:rsidP="001C2F78">
      <w:pPr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2D3E3D">
        <w:t>Protect from light</w:t>
      </w:r>
    </w:p>
    <w:p w:rsidR="001C2F78" w:rsidRPr="002D3E3D" w:rsidRDefault="001C2F78" w:rsidP="001C2F78">
      <w:pPr>
        <w:autoSpaceDE w:val="0"/>
        <w:autoSpaceDN w:val="0"/>
        <w:adjustRightInd w:val="0"/>
        <w:rPr>
          <w:b/>
          <w:u w:val="single"/>
        </w:rPr>
      </w:pPr>
    </w:p>
    <w:p w:rsidR="001C2F78" w:rsidRPr="002D3E3D" w:rsidRDefault="001C2F78" w:rsidP="001C2F78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 xml:space="preserve">Other Important Notes </w:t>
      </w:r>
    </w:p>
    <w:p w:rsidR="001C2F78" w:rsidRPr="002D3E3D" w:rsidRDefault="001C2F78" w:rsidP="001C2F78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The ACIP recommends that </w:t>
      </w:r>
      <w:proofErr w:type="spellStart"/>
      <w:r w:rsidRPr="001C2F78">
        <w:rPr>
          <w:b/>
        </w:rPr>
        <w:t>RotaTeq</w:t>
      </w:r>
      <w:proofErr w:type="spellEnd"/>
      <w:r w:rsidRPr="002D3E3D">
        <w:t xml:space="preserve">® </w:t>
      </w:r>
      <w:proofErr w:type="gramStart"/>
      <w:r w:rsidRPr="002D3E3D">
        <w:t>be given</w:t>
      </w:r>
      <w:proofErr w:type="gramEnd"/>
      <w:r w:rsidRPr="002D3E3D">
        <w:t xml:space="preserve"> during the current routine well-baby visits at 2, 4, and 6 months of age.</w:t>
      </w:r>
    </w:p>
    <w:p w:rsidR="001C2F78" w:rsidRPr="002D3E3D" w:rsidRDefault="001C2F78" w:rsidP="001C2F78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There are no restrictions on the infant’s consumption of food or liquid, including breast milk, either before or after vaccination with </w:t>
      </w:r>
      <w:proofErr w:type="spellStart"/>
      <w:r w:rsidRPr="001C2F78">
        <w:rPr>
          <w:b/>
        </w:rPr>
        <w:t>RotaTeq</w:t>
      </w:r>
      <w:proofErr w:type="spellEnd"/>
      <w:r w:rsidRPr="002D3E3D">
        <w:t>®.</w:t>
      </w:r>
    </w:p>
    <w:p w:rsidR="001C2F78" w:rsidRDefault="001C2F78" w:rsidP="001C2F78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lastRenderedPageBreak/>
        <w:t xml:space="preserve">Re-administration of a dose of </w:t>
      </w:r>
      <w:proofErr w:type="spellStart"/>
      <w:r w:rsidRPr="001C2F78">
        <w:rPr>
          <w:b/>
        </w:rPr>
        <w:t>RotaTeq</w:t>
      </w:r>
      <w:proofErr w:type="spellEnd"/>
      <w:r w:rsidRPr="002D3E3D">
        <w:t xml:space="preserve">® to an infant who regurgitates, spits out or vomits during or after administration of vaccines </w:t>
      </w:r>
      <w:proofErr w:type="gramStart"/>
      <w:r w:rsidRPr="002D3E3D">
        <w:rPr>
          <w:b/>
          <w:u w:val="single"/>
        </w:rPr>
        <w:t>is not recommended</w:t>
      </w:r>
      <w:proofErr w:type="gramEnd"/>
      <w:r w:rsidRPr="002D3E3D">
        <w:t xml:space="preserve">.  The infant should receive the remaining recommended doses of </w:t>
      </w:r>
      <w:bookmarkStart w:id="0" w:name="_GoBack"/>
      <w:proofErr w:type="spellStart"/>
      <w:r w:rsidRPr="001C2F78">
        <w:rPr>
          <w:b/>
        </w:rPr>
        <w:t>RotaTeq</w:t>
      </w:r>
      <w:bookmarkEnd w:id="0"/>
      <w:proofErr w:type="spellEnd"/>
      <w:r w:rsidRPr="002D3E3D">
        <w:t>® at appropriate intervals.</w:t>
      </w:r>
    </w:p>
    <w:p w:rsidR="001C2F78" w:rsidRDefault="001C2F78" w:rsidP="001C2F78">
      <w:pPr>
        <w:autoSpaceDE w:val="0"/>
        <w:autoSpaceDN w:val="0"/>
        <w:adjustRightInd w:val="0"/>
      </w:pPr>
    </w:p>
    <w:p w:rsidR="001C2F78" w:rsidRPr="0074546F" w:rsidRDefault="001C2F78" w:rsidP="001C2F78">
      <w:pPr>
        <w:rPr>
          <w:b/>
        </w:rPr>
      </w:pPr>
      <w:r w:rsidRPr="0074546F">
        <w:rPr>
          <w:b/>
        </w:rPr>
        <w:t>Tuberculin Testing and Live Vaccines</w:t>
      </w:r>
    </w:p>
    <w:p w:rsidR="001C2F78" w:rsidRPr="0074546F" w:rsidRDefault="001C2F78" w:rsidP="001C2F78">
      <w:r w:rsidRPr="0074546F">
        <w:t xml:space="preserve">Recommendations for use of the tuberculin skin test are independent of those for immunization.  Tuberculin testing at any age is not required before administration of live-virus vaccines.  A tuberculin skin test (TST) </w:t>
      </w:r>
      <w:proofErr w:type="gramStart"/>
      <w:r w:rsidRPr="0074546F">
        <w:t>can be applied</w:t>
      </w:r>
      <w:proofErr w:type="gramEnd"/>
      <w:r w:rsidRPr="0074546F">
        <w:t xml:space="preserve"> at the same visit during which these vaccines are administered.  Measles vaccine temporarily can suppress tuberculin reactivity for at least 4</w:t>
      </w:r>
      <w:r>
        <w:t> </w:t>
      </w:r>
      <w:r w:rsidRPr="0074546F">
        <w:t>to</w:t>
      </w:r>
      <w:r>
        <w:t> </w:t>
      </w:r>
      <w:r w:rsidRPr="0074546F">
        <w:t>6</w:t>
      </w:r>
      <w:r>
        <w:t> </w:t>
      </w:r>
      <w:r w:rsidRPr="0074546F">
        <w:t xml:space="preserve">weeks.  The effect of live-virus varicella, yellow fever, and live-attenuated influenza vaccines on tuberculin skin test reactivity </w:t>
      </w:r>
      <w:proofErr w:type="gramStart"/>
      <w:r w:rsidRPr="0074546F">
        <w:t>is not known</w:t>
      </w:r>
      <w:proofErr w:type="gramEnd"/>
      <w:r w:rsidRPr="0074546F">
        <w:t xml:space="preserve">.  In the absence of data, the same TST spacing recommendation </w:t>
      </w:r>
      <w:proofErr w:type="gramStart"/>
      <w:r w:rsidRPr="0074546F">
        <w:t>should be applied</w:t>
      </w:r>
      <w:proofErr w:type="gramEnd"/>
      <w:r w:rsidRPr="0074546F">
        <w:t xml:space="preserve"> to these vaccines as described for MMR.  There is no evidence that inactivated vaccines, polysaccharide vaccines or recombinant or subunit vaccines or toxoids interfere with immune response to TST.</w:t>
      </w:r>
    </w:p>
    <w:p w:rsidR="001C2F78" w:rsidRPr="0074546F" w:rsidRDefault="001C2F78" w:rsidP="001C2F78"/>
    <w:p w:rsidR="001C2F78" w:rsidRPr="0074546F" w:rsidRDefault="001C2F78" w:rsidP="001C2F78">
      <w:pPr>
        <w:spacing w:after="120"/>
        <w:rPr>
          <w:rFonts w:cs="Helvetica"/>
        </w:rPr>
      </w:pPr>
      <w:r w:rsidRPr="0074546F">
        <w:rPr>
          <w:rFonts w:cs="Arial"/>
          <w:b/>
        </w:rPr>
        <w:t xml:space="preserve">Tuberculin Skin Testing (TST) and </w:t>
      </w:r>
      <w:r>
        <w:rPr>
          <w:rFonts w:cs="Arial"/>
          <w:b/>
        </w:rPr>
        <w:t>Rotavirus</w:t>
      </w:r>
      <w:r w:rsidRPr="0074546F">
        <w:rPr>
          <w:rFonts w:cs="Arial"/>
          <w:b/>
        </w:rPr>
        <w:t xml:space="preserve"> Vaccine (</w:t>
      </w:r>
      <w:r>
        <w:rPr>
          <w:rFonts w:cs="Arial"/>
          <w:b/>
        </w:rPr>
        <w:t>RV5</w:t>
      </w:r>
      <w:r w:rsidRPr="0074546F">
        <w:rPr>
          <w:rFonts w:cs="Arial"/>
          <w:b/>
        </w:rPr>
        <w:t>)</w:t>
      </w:r>
    </w:p>
    <w:p w:rsidR="001C2F78" w:rsidRPr="0074546F" w:rsidRDefault="001C2F78" w:rsidP="001C2F78">
      <w:pPr>
        <w:numPr>
          <w:ilvl w:val="0"/>
          <w:numId w:val="5"/>
        </w:numPr>
      </w:pPr>
      <w:r w:rsidRPr="0074546F">
        <w:t xml:space="preserve">Apply TST at same visit as </w:t>
      </w:r>
      <w:r>
        <w:t>RV5</w:t>
      </w:r>
      <w:r w:rsidRPr="0074546F">
        <w:t xml:space="preserve"> (preferred strategy)</w:t>
      </w:r>
    </w:p>
    <w:p w:rsidR="001C2F78" w:rsidRPr="0074546F" w:rsidRDefault="001C2F78" w:rsidP="001C2F78">
      <w:pPr>
        <w:numPr>
          <w:ilvl w:val="0"/>
          <w:numId w:val="5"/>
        </w:numPr>
      </w:pPr>
      <w:r w:rsidRPr="0074546F">
        <w:t xml:space="preserve">Apply TST first and administer </w:t>
      </w:r>
      <w:r>
        <w:t>RV5</w:t>
      </w:r>
      <w:r w:rsidRPr="0074546F">
        <w:t xml:space="preserve"> when TST is read (least favored option because receipt of </w:t>
      </w:r>
      <w:r>
        <w:t>RV5</w:t>
      </w:r>
      <w:r w:rsidRPr="0074546F">
        <w:t xml:space="preserve"> is delayed) (least preferred strategy)</w:t>
      </w:r>
    </w:p>
    <w:p w:rsidR="001C2F78" w:rsidRPr="0074546F" w:rsidRDefault="001C2F78" w:rsidP="001C2F78">
      <w:pPr>
        <w:numPr>
          <w:ilvl w:val="0"/>
          <w:numId w:val="5"/>
        </w:numPr>
      </w:pPr>
      <w:r w:rsidRPr="0074546F">
        <w:t xml:space="preserve">Delay TST at least 4 weeks if </w:t>
      </w:r>
      <w:r>
        <w:t>RV5</w:t>
      </w:r>
      <w:r w:rsidRPr="0074546F">
        <w:t xml:space="preserve"> </w:t>
      </w:r>
      <w:proofErr w:type="gramStart"/>
      <w:r w:rsidRPr="0074546F">
        <w:t>is given</w:t>
      </w:r>
      <w:proofErr w:type="gramEnd"/>
      <w:r w:rsidRPr="0074546F">
        <w:t xml:space="preserve"> first.</w:t>
      </w:r>
    </w:p>
    <w:p w:rsidR="001C2F78" w:rsidRPr="002D3E3D" w:rsidRDefault="001C2F78" w:rsidP="001C2F78">
      <w:pPr>
        <w:autoSpaceDE w:val="0"/>
        <w:autoSpaceDN w:val="0"/>
        <w:adjustRightInd w:val="0"/>
      </w:pPr>
    </w:p>
    <w:p w:rsidR="001C2F78" w:rsidRPr="002D3E3D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Pr="002D3E3D" w:rsidRDefault="001C2F78" w:rsidP="001C2F78">
      <w:pPr>
        <w:autoSpaceDE w:val="0"/>
        <w:autoSpaceDN w:val="0"/>
        <w:adjustRightInd w:val="0"/>
        <w:rPr>
          <w:bCs/>
        </w:rPr>
      </w:pPr>
    </w:p>
    <w:p w:rsidR="001C2F78" w:rsidRDefault="001C2F78" w:rsidP="001C2F78">
      <w:pPr>
        <w:autoSpaceDE w:val="0"/>
        <w:autoSpaceDN w:val="0"/>
        <w:adjustRightInd w:val="0"/>
      </w:pPr>
    </w:p>
    <w:p w:rsidR="001C2F78" w:rsidRDefault="001C2F78" w:rsidP="001C2F78">
      <w:pPr>
        <w:autoSpaceDE w:val="0"/>
        <w:autoSpaceDN w:val="0"/>
        <w:adjustRightInd w:val="0"/>
      </w:pPr>
    </w:p>
    <w:p w:rsidR="00F25F63" w:rsidRDefault="001C2F78" w:rsidP="001C2F78">
      <w:r>
        <w:t>Last updated December 15, 2011 and August 1, 2012</w:t>
      </w:r>
    </w:p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90" w:rsidRDefault="00C76290" w:rsidP="001C2F78">
      <w:r>
        <w:separator/>
      </w:r>
    </w:p>
  </w:endnote>
  <w:endnote w:type="continuationSeparator" w:id="0">
    <w:p w:rsidR="00C76290" w:rsidRDefault="00C76290" w:rsidP="001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78" w:rsidRDefault="001C2F78">
    <w:pPr>
      <w:pStyle w:val="Footer"/>
      <w:jc w:val="center"/>
      <w:rPr>
        <w:color w:val="auto"/>
        <w:sz w:val="16"/>
        <w:szCs w:val="16"/>
      </w:rPr>
    </w:pPr>
    <w:r w:rsidRPr="001C2F78">
      <w:rPr>
        <w:color w:val="auto"/>
        <w:sz w:val="16"/>
        <w:szCs w:val="16"/>
      </w:rPr>
      <w:t xml:space="preserve">Page </w:t>
    </w:r>
    <w:r w:rsidRPr="001C2F78">
      <w:rPr>
        <w:color w:val="auto"/>
        <w:sz w:val="16"/>
        <w:szCs w:val="16"/>
      </w:rPr>
      <w:fldChar w:fldCharType="begin"/>
    </w:r>
    <w:r w:rsidRPr="001C2F78">
      <w:rPr>
        <w:color w:val="auto"/>
        <w:sz w:val="16"/>
        <w:szCs w:val="16"/>
      </w:rPr>
      <w:instrText xml:space="preserve"> PAGE  \* Arabic  \* MERGEFORMAT </w:instrText>
    </w:r>
    <w:r w:rsidRPr="001C2F78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1C2F78">
      <w:rPr>
        <w:color w:val="auto"/>
        <w:sz w:val="16"/>
        <w:szCs w:val="16"/>
      </w:rPr>
      <w:fldChar w:fldCharType="end"/>
    </w:r>
    <w:r w:rsidRPr="001C2F78">
      <w:rPr>
        <w:color w:val="auto"/>
        <w:sz w:val="16"/>
        <w:szCs w:val="16"/>
      </w:rPr>
      <w:t xml:space="preserve"> of </w:t>
    </w:r>
    <w:r w:rsidRPr="001C2F78">
      <w:rPr>
        <w:color w:val="auto"/>
        <w:sz w:val="16"/>
        <w:szCs w:val="16"/>
      </w:rPr>
      <w:fldChar w:fldCharType="begin"/>
    </w:r>
    <w:r w:rsidRPr="001C2F78">
      <w:rPr>
        <w:color w:val="auto"/>
        <w:sz w:val="16"/>
        <w:szCs w:val="16"/>
      </w:rPr>
      <w:instrText xml:space="preserve"> NUMPAGES  \* Arabic  \* MERGEFORMAT </w:instrText>
    </w:r>
    <w:r w:rsidRPr="001C2F78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1C2F78">
      <w:rPr>
        <w:color w:val="auto"/>
        <w:sz w:val="16"/>
        <w:szCs w:val="16"/>
      </w:rPr>
      <w:fldChar w:fldCharType="end"/>
    </w:r>
  </w:p>
  <w:p w:rsidR="001C2F78" w:rsidRDefault="001C2F78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1C2F78" w:rsidRDefault="001C2F78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(AA) – Rotavirus (RV5) Vaccine, Pentavalent (</w:t>
    </w:r>
    <w:proofErr w:type="spellStart"/>
    <w:r>
      <w:rPr>
        <w:color w:val="auto"/>
        <w:sz w:val="16"/>
        <w:szCs w:val="16"/>
      </w:rPr>
      <w:t>RotaTeq</w:t>
    </w:r>
    <w:proofErr w:type="spellEnd"/>
    <w:r>
      <w:rPr>
        <w:color w:val="auto"/>
        <w:sz w:val="16"/>
        <w:szCs w:val="16"/>
      </w:rPr>
      <w:t>)</w:t>
    </w:r>
  </w:p>
  <w:p w:rsidR="001C2F78" w:rsidRPr="001C2F78" w:rsidRDefault="001C2F78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1C2F78" w:rsidRDefault="001C2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90" w:rsidRDefault="00C76290" w:rsidP="001C2F78">
      <w:r>
        <w:separator/>
      </w:r>
    </w:p>
  </w:footnote>
  <w:footnote w:type="continuationSeparator" w:id="0">
    <w:p w:rsidR="00C76290" w:rsidRDefault="00C76290" w:rsidP="001C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F0"/>
    <w:multiLevelType w:val="hybridMultilevel"/>
    <w:tmpl w:val="FD0A1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6AE"/>
    <w:multiLevelType w:val="hybridMultilevel"/>
    <w:tmpl w:val="FA8A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D0D"/>
    <w:multiLevelType w:val="hybridMultilevel"/>
    <w:tmpl w:val="9FACF9E2"/>
    <w:lvl w:ilvl="0" w:tplc="0BAE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1796"/>
    <w:multiLevelType w:val="hybridMultilevel"/>
    <w:tmpl w:val="F89625DE"/>
    <w:lvl w:ilvl="0" w:tplc="057CA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7"/>
    <w:rsid w:val="001C2F78"/>
    <w:rsid w:val="00C76290"/>
    <w:rsid w:val="00F25F63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AFAB"/>
  <w15:chartTrackingRefBased/>
  <w15:docId w15:val="{11A57DB9-BB9C-4991-A062-3175EF0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7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7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2B951F41-52D1-4B89-83D0-1A742B0378E0}"/>
</file>

<file path=customXml/itemProps2.xml><?xml version="1.0" encoding="utf-8"?>
<ds:datastoreItem xmlns:ds="http://schemas.openxmlformats.org/officeDocument/2006/customXml" ds:itemID="{DFE54F7F-BF86-489E-A94F-362700E18D63}"/>
</file>

<file path=customXml/itemProps3.xml><?xml version="1.0" encoding="utf-8"?>
<ds:datastoreItem xmlns:ds="http://schemas.openxmlformats.org/officeDocument/2006/customXml" ds:itemID="{EA80C4A7-C389-4773-86DB-C3D5D343A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4595</Characters>
  <Application>Microsoft Office Word</Application>
  <DocSecurity>0</DocSecurity>
  <Lines>38</Lines>
  <Paragraphs>10</Paragraphs>
  <ScaleCrop>false</ScaleCrop>
  <Company>Commonwealth of Kentucky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(AA) - RV5 (ROTATEQ)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2018-06-29T19:11:00Z</dcterms:created>
  <dcterms:modified xsi:type="dcterms:W3CDTF">2018-06-29T19:15:00Z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