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20A" w:rsidRPr="00CD4146" w:rsidRDefault="0022020A" w:rsidP="0022020A">
      <w:pPr>
        <w:autoSpaceDE w:val="0"/>
        <w:autoSpaceDN w:val="0"/>
        <w:adjustRightInd w:val="0"/>
        <w:jc w:val="center"/>
        <w:rPr>
          <w:rFonts w:ascii="Times New Roman Bold" w:hAnsi="Times New Roman Bold"/>
          <w:b/>
          <w:sz w:val="28"/>
          <w:szCs w:val="28"/>
        </w:rPr>
      </w:pPr>
      <w:r w:rsidRPr="00CD4146">
        <w:rPr>
          <w:b/>
          <w:sz w:val="28"/>
          <w:szCs w:val="28"/>
        </w:rPr>
        <w:t xml:space="preserve">Protocol for Administration of Tetanus Diphtheria and </w:t>
      </w:r>
      <w:r w:rsidRPr="00CD4146">
        <w:rPr>
          <w:b/>
          <w:sz w:val="28"/>
          <w:szCs w:val="28"/>
        </w:rPr>
        <w:br/>
        <w:t>Tetanus Diphtheria Acellular Pertussis (Td/</w:t>
      </w:r>
      <w:proofErr w:type="spellStart"/>
      <w:r w:rsidRPr="00CD4146">
        <w:rPr>
          <w:b/>
          <w:sz w:val="28"/>
          <w:szCs w:val="28"/>
        </w:rPr>
        <w:t>Tdap</w:t>
      </w:r>
      <w:proofErr w:type="spellEnd"/>
      <w:r w:rsidRPr="00CD4146">
        <w:rPr>
          <w:b/>
          <w:sz w:val="28"/>
          <w:szCs w:val="28"/>
        </w:rPr>
        <w:t xml:space="preserve">) </w:t>
      </w:r>
      <w:r w:rsidRPr="00E33577">
        <w:rPr>
          <w:b/>
          <w:sz w:val="28"/>
          <w:szCs w:val="28"/>
        </w:rPr>
        <w:t>Vaccines</w:t>
      </w:r>
    </w:p>
    <w:p w:rsidR="0022020A" w:rsidRPr="00CD4146" w:rsidRDefault="0022020A" w:rsidP="0022020A">
      <w:pPr>
        <w:widowControl w:val="0"/>
        <w:jc w:val="center"/>
        <w:rPr>
          <w:b/>
        </w:rPr>
      </w:pPr>
      <w:r>
        <w:rPr>
          <w:b/>
        </w:rPr>
        <w:t xml:space="preserve">Children Aged </w:t>
      </w:r>
      <w:r w:rsidRPr="00CD4146">
        <w:rPr>
          <w:b/>
        </w:rPr>
        <w:t xml:space="preserve">7 Years </w:t>
      </w:r>
      <w:r>
        <w:rPr>
          <w:b/>
        </w:rPr>
        <w:t>and Older and</w:t>
      </w:r>
      <w:r w:rsidRPr="00CD4146">
        <w:rPr>
          <w:b/>
        </w:rPr>
        <w:t xml:space="preserve"> Adults</w:t>
      </w:r>
    </w:p>
    <w:p w:rsidR="0022020A" w:rsidRPr="00CD4146" w:rsidRDefault="0022020A" w:rsidP="0022020A">
      <w:pPr>
        <w:widowControl w:val="0"/>
        <w:jc w:val="center"/>
        <w:rPr>
          <w:b/>
        </w:rPr>
      </w:pPr>
    </w:p>
    <w:p w:rsidR="0022020A" w:rsidRDefault="0022020A" w:rsidP="0022020A">
      <w:pPr>
        <w:autoSpaceDE w:val="0"/>
        <w:autoSpaceDN w:val="0"/>
        <w:adjustRightInd w:val="0"/>
        <w:spacing w:after="120"/>
        <w:rPr>
          <w:b/>
          <w:u w:val="single"/>
        </w:rPr>
      </w:pPr>
      <w:r>
        <w:rPr>
          <w:b/>
          <w:u w:val="single"/>
        </w:rPr>
        <w:t>Precautions and Contraindications</w:t>
      </w:r>
    </w:p>
    <w:p w:rsidR="0022020A" w:rsidRDefault="0022020A" w:rsidP="0022020A">
      <w:pPr>
        <w:autoSpaceDE w:val="0"/>
        <w:autoSpaceDN w:val="0"/>
        <w:adjustRightInd w:val="0"/>
        <w:spacing w:after="120"/>
      </w:pPr>
      <w:r>
        <w:t>Screen all patients for precautions and contraindications to immunization.</w:t>
      </w:r>
    </w:p>
    <w:p w:rsidR="0022020A" w:rsidRDefault="0022020A" w:rsidP="0022020A">
      <w:pPr>
        <w:autoSpaceDE w:val="0"/>
        <w:autoSpaceDN w:val="0"/>
        <w:adjustRightInd w:val="0"/>
      </w:pPr>
    </w:p>
    <w:p w:rsidR="0022020A" w:rsidRDefault="0022020A" w:rsidP="0022020A">
      <w:pPr>
        <w:autoSpaceDE w:val="0"/>
        <w:autoSpaceDN w:val="0"/>
        <w:adjustRightInd w:val="0"/>
        <w:spacing w:after="120"/>
        <w:rPr>
          <w:b/>
          <w:szCs w:val="24"/>
          <w:u w:val="single"/>
        </w:rPr>
      </w:pPr>
      <w:r>
        <w:rPr>
          <w:b/>
          <w:szCs w:val="24"/>
          <w:u w:val="single"/>
        </w:rPr>
        <w:t>Recommended Routine Schedule</w:t>
      </w:r>
    </w:p>
    <w:p w:rsidR="0022020A" w:rsidRDefault="0022020A" w:rsidP="0022020A">
      <w:pPr>
        <w:autoSpaceDE w:val="0"/>
        <w:autoSpaceDN w:val="0"/>
        <w:adjustRightInd w:val="0"/>
      </w:pPr>
    </w:p>
    <w:p w:rsidR="0022020A" w:rsidRDefault="0022020A" w:rsidP="0022020A">
      <w:pPr>
        <w:keepNext/>
        <w:outlineLvl w:val="2"/>
        <w:rPr>
          <w:b/>
          <w:szCs w:val="24"/>
        </w:rPr>
      </w:pPr>
      <w:r>
        <w:rPr>
          <w:b/>
          <w:szCs w:val="24"/>
        </w:rPr>
        <w:t>Td/</w:t>
      </w:r>
      <w:proofErr w:type="spellStart"/>
      <w:r>
        <w:rPr>
          <w:b/>
          <w:szCs w:val="24"/>
        </w:rPr>
        <w:t>Tdap</w:t>
      </w:r>
      <w:proofErr w:type="spellEnd"/>
      <w:r>
        <w:rPr>
          <w:b/>
          <w:szCs w:val="24"/>
        </w:rPr>
        <w:t xml:space="preserve"> Vaccine Schedule for Children Aged 7 Years and older, unless a contraindication</w:t>
      </w:r>
    </w:p>
    <w:p w:rsidR="0022020A" w:rsidRDefault="0022020A" w:rsidP="0022020A"/>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3"/>
        <w:gridCol w:w="2895"/>
        <w:gridCol w:w="4770"/>
      </w:tblGrid>
      <w:tr w:rsidR="0022020A" w:rsidRPr="00FF6006" w:rsidTr="00761C75">
        <w:trPr>
          <w:trHeight w:val="593"/>
          <w:jc w:val="center"/>
        </w:trPr>
        <w:tc>
          <w:tcPr>
            <w:tcW w:w="1603" w:type="dxa"/>
            <w:tcBorders>
              <w:top w:val="single" w:sz="4" w:space="0" w:color="auto"/>
              <w:left w:val="single" w:sz="4" w:space="0" w:color="auto"/>
              <w:bottom w:val="single" w:sz="4" w:space="0" w:color="auto"/>
              <w:right w:val="single" w:sz="4" w:space="0" w:color="auto"/>
            </w:tcBorders>
            <w:vAlign w:val="center"/>
            <w:hideMark/>
          </w:tcPr>
          <w:p w:rsidR="0022020A" w:rsidRDefault="0022020A" w:rsidP="00761C75">
            <w:pPr>
              <w:spacing w:line="276" w:lineRule="auto"/>
              <w:jc w:val="center"/>
              <w:rPr>
                <w:b/>
                <w:szCs w:val="24"/>
              </w:rPr>
            </w:pPr>
            <w:r>
              <w:rPr>
                <w:b/>
                <w:szCs w:val="24"/>
              </w:rPr>
              <w:t>Vaccine</w:t>
            </w:r>
          </w:p>
        </w:tc>
        <w:tc>
          <w:tcPr>
            <w:tcW w:w="2895" w:type="dxa"/>
            <w:tcBorders>
              <w:top w:val="single" w:sz="4" w:space="0" w:color="auto"/>
              <w:left w:val="single" w:sz="4" w:space="0" w:color="auto"/>
              <w:bottom w:val="single" w:sz="4" w:space="0" w:color="auto"/>
              <w:right w:val="single" w:sz="4" w:space="0" w:color="auto"/>
            </w:tcBorders>
            <w:vAlign w:val="center"/>
            <w:hideMark/>
          </w:tcPr>
          <w:p w:rsidR="0022020A" w:rsidRDefault="0022020A" w:rsidP="00761C75">
            <w:pPr>
              <w:spacing w:line="276" w:lineRule="auto"/>
              <w:jc w:val="center"/>
              <w:rPr>
                <w:b/>
                <w:szCs w:val="24"/>
              </w:rPr>
            </w:pPr>
            <w:r>
              <w:rPr>
                <w:b/>
                <w:szCs w:val="24"/>
              </w:rPr>
              <w:t>Recommended Age</w:t>
            </w:r>
          </w:p>
        </w:tc>
        <w:tc>
          <w:tcPr>
            <w:tcW w:w="4770" w:type="dxa"/>
            <w:tcBorders>
              <w:top w:val="single" w:sz="4" w:space="0" w:color="auto"/>
              <w:left w:val="single" w:sz="4" w:space="0" w:color="auto"/>
              <w:bottom w:val="single" w:sz="4" w:space="0" w:color="auto"/>
              <w:right w:val="single" w:sz="4" w:space="0" w:color="auto"/>
            </w:tcBorders>
            <w:vAlign w:val="center"/>
            <w:hideMark/>
          </w:tcPr>
          <w:p w:rsidR="0022020A" w:rsidRDefault="0022020A" w:rsidP="00761C75">
            <w:pPr>
              <w:spacing w:line="276" w:lineRule="auto"/>
              <w:jc w:val="center"/>
              <w:rPr>
                <w:b/>
                <w:szCs w:val="24"/>
              </w:rPr>
            </w:pPr>
            <w:r>
              <w:rPr>
                <w:b/>
                <w:szCs w:val="24"/>
              </w:rPr>
              <w:t>Schedule</w:t>
            </w:r>
          </w:p>
        </w:tc>
      </w:tr>
      <w:tr w:rsidR="0022020A" w:rsidRPr="00FF6006" w:rsidTr="00761C75">
        <w:trPr>
          <w:trHeight w:val="1376"/>
          <w:jc w:val="center"/>
        </w:trPr>
        <w:tc>
          <w:tcPr>
            <w:tcW w:w="1603" w:type="dxa"/>
            <w:tcBorders>
              <w:top w:val="single" w:sz="4" w:space="0" w:color="auto"/>
              <w:left w:val="single" w:sz="4" w:space="0" w:color="auto"/>
              <w:bottom w:val="single" w:sz="4" w:space="0" w:color="auto"/>
              <w:right w:val="single" w:sz="4" w:space="0" w:color="auto"/>
            </w:tcBorders>
            <w:vAlign w:val="center"/>
            <w:hideMark/>
          </w:tcPr>
          <w:p w:rsidR="0022020A" w:rsidRDefault="0022020A" w:rsidP="00761C75">
            <w:pPr>
              <w:spacing w:before="120" w:line="276" w:lineRule="auto"/>
              <w:jc w:val="center"/>
            </w:pPr>
            <w:r>
              <w:t>Td</w:t>
            </w:r>
          </w:p>
        </w:tc>
        <w:tc>
          <w:tcPr>
            <w:tcW w:w="2895" w:type="dxa"/>
            <w:tcBorders>
              <w:top w:val="single" w:sz="4" w:space="0" w:color="auto"/>
              <w:left w:val="single" w:sz="4" w:space="0" w:color="auto"/>
              <w:bottom w:val="single" w:sz="4" w:space="0" w:color="auto"/>
              <w:right w:val="single" w:sz="4" w:space="0" w:color="auto"/>
            </w:tcBorders>
            <w:vAlign w:val="center"/>
            <w:hideMark/>
          </w:tcPr>
          <w:p w:rsidR="0022020A" w:rsidRDefault="0022020A" w:rsidP="00761C75">
            <w:pPr>
              <w:spacing w:before="120" w:line="276" w:lineRule="auto"/>
              <w:jc w:val="center"/>
            </w:pPr>
            <w:r>
              <w:t>7 years of age</w:t>
            </w:r>
          </w:p>
        </w:tc>
        <w:tc>
          <w:tcPr>
            <w:tcW w:w="4770" w:type="dxa"/>
            <w:tcBorders>
              <w:top w:val="single" w:sz="4" w:space="0" w:color="auto"/>
              <w:left w:val="single" w:sz="4" w:space="0" w:color="auto"/>
              <w:bottom w:val="single" w:sz="4" w:space="0" w:color="auto"/>
              <w:right w:val="single" w:sz="4" w:space="0" w:color="auto"/>
            </w:tcBorders>
            <w:vAlign w:val="center"/>
            <w:hideMark/>
          </w:tcPr>
          <w:p w:rsidR="0022020A" w:rsidRDefault="0022020A" w:rsidP="00761C75">
            <w:pPr>
              <w:spacing w:before="120" w:after="120" w:line="276" w:lineRule="auto"/>
              <w:ind w:left="144"/>
            </w:pPr>
            <w:r>
              <w:t xml:space="preserve">May be used for age 7 years and older not receiving previous doses of </w:t>
            </w:r>
            <w:proofErr w:type="spellStart"/>
            <w:r>
              <w:t>DTaP</w:t>
            </w:r>
            <w:proofErr w:type="spellEnd"/>
            <w:r>
              <w:t xml:space="preserve">, DT, or Td for the primary series.  </w:t>
            </w:r>
            <w:proofErr w:type="spellStart"/>
            <w:r>
              <w:t>Tdap</w:t>
            </w:r>
            <w:proofErr w:type="spellEnd"/>
            <w:r>
              <w:t xml:space="preserve"> is preferred as first dose if not fully vaccinated.</w:t>
            </w:r>
          </w:p>
        </w:tc>
      </w:tr>
      <w:tr w:rsidR="0022020A" w:rsidRPr="00FF6006" w:rsidTr="00761C75">
        <w:trPr>
          <w:trHeight w:val="1079"/>
          <w:jc w:val="center"/>
        </w:trPr>
        <w:tc>
          <w:tcPr>
            <w:tcW w:w="1603" w:type="dxa"/>
            <w:tcBorders>
              <w:top w:val="single" w:sz="4" w:space="0" w:color="auto"/>
              <w:left w:val="single" w:sz="4" w:space="0" w:color="auto"/>
              <w:bottom w:val="single" w:sz="4" w:space="0" w:color="auto"/>
              <w:right w:val="single" w:sz="4" w:space="0" w:color="auto"/>
            </w:tcBorders>
            <w:vAlign w:val="center"/>
            <w:hideMark/>
          </w:tcPr>
          <w:p w:rsidR="0022020A" w:rsidRDefault="0022020A" w:rsidP="00761C75">
            <w:pPr>
              <w:spacing w:before="120" w:line="276" w:lineRule="auto"/>
              <w:jc w:val="center"/>
            </w:pPr>
            <w:proofErr w:type="spellStart"/>
            <w:r>
              <w:t>Tdap</w:t>
            </w:r>
            <w:proofErr w:type="spellEnd"/>
            <w:r>
              <w:t>/Td</w:t>
            </w:r>
          </w:p>
        </w:tc>
        <w:tc>
          <w:tcPr>
            <w:tcW w:w="2895" w:type="dxa"/>
            <w:tcBorders>
              <w:top w:val="single" w:sz="4" w:space="0" w:color="auto"/>
              <w:left w:val="single" w:sz="4" w:space="0" w:color="auto"/>
              <w:bottom w:val="single" w:sz="4" w:space="0" w:color="auto"/>
              <w:right w:val="single" w:sz="4" w:space="0" w:color="auto"/>
            </w:tcBorders>
            <w:vAlign w:val="center"/>
            <w:hideMark/>
          </w:tcPr>
          <w:p w:rsidR="0022020A" w:rsidRDefault="0022020A" w:rsidP="00761C75">
            <w:pPr>
              <w:spacing w:line="276" w:lineRule="auto"/>
              <w:jc w:val="center"/>
            </w:pPr>
            <w:r>
              <w:t>11 through 12 years of age</w:t>
            </w:r>
          </w:p>
        </w:tc>
        <w:tc>
          <w:tcPr>
            <w:tcW w:w="4770" w:type="dxa"/>
            <w:tcBorders>
              <w:top w:val="single" w:sz="4" w:space="0" w:color="auto"/>
              <w:left w:val="single" w:sz="4" w:space="0" w:color="auto"/>
              <w:bottom w:val="single" w:sz="4" w:space="0" w:color="auto"/>
              <w:right w:val="single" w:sz="4" w:space="0" w:color="auto"/>
            </w:tcBorders>
            <w:vAlign w:val="center"/>
            <w:hideMark/>
          </w:tcPr>
          <w:p w:rsidR="0022020A" w:rsidRDefault="0022020A" w:rsidP="00761C75">
            <w:pPr>
              <w:spacing w:before="120" w:after="120" w:line="276" w:lineRule="auto"/>
              <w:ind w:left="144"/>
            </w:pPr>
            <w:r>
              <w:t>1</w:t>
            </w:r>
            <w:r>
              <w:rPr>
                <w:vertAlign w:val="superscript"/>
              </w:rPr>
              <w:t>st</w:t>
            </w:r>
            <w:r>
              <w:t xml:space="preserve"> booster dose, administer </w:t>
            </w:r>
            <w:proofErr w:type="spellStart"/>
            <w:r>
              <w:t>Tdap</w:t>
            </w:r>
            <w:proofErr w:type="spellEnd"/>
            <w:r>
              <w:t xml:space="preserve"> vaccine.  Thereafter, administer Td every 10 years.</w:t>
            </w:r>
          </w:p>
        </w:tc>
      </w:tr>
    </w:tbl>
    <w:p w:rsidR="0022020A" w:rsidRDefault="0022020A" w:rsidP="0022020A"/>
    <w:p w:rsidR="0022020A" w:rsidRDefault="0022020A" w:rsidP="0022020A">
      <w:pPr>
        <w:jc w:val="center"/>
        <w:rPr>
          <w:b/>
          <w:sz w:val="28"/>
          <w:szCs w:val="28"/>
        </w:rPr>
      </w:pPr>
      <w:r>
        <w:rPr>
          <w:b/>
          <w:sz w:val="28"/>
          <w:szCs w:val="28"/>
        </w:rPr>
        <w:t>Recommended Immunization Schedule for Persons Aged 7 through 18 years</w:t>
      </w:r>
    </w:p>
    <w:p w:rsidR="0022020A" w:rsidRDefault="0022020A" w:rsidP="0022020A">
      <w:pPr>
        <w:jc w:val="center"/>
        <w:rPr>
          <w:b/>
          <w:szCs w:val="24"/>
        </w:rPr>
      </w:pPr>
      <w:r>
        <w:rPr>
          <w:b/>
          <w:szCs w:val="24"/>
        </w:rPr>
        <w:t>For those who fall behind or start late, see the Catch-up Schedule</w:t>
      </w:r>
    </w:p>
    <w:p w:rsidR="0022020A" w:rsidRDefault="0022020A" w:rsidP="0022020A">
      <w:pPr>
        <w:rPr>
          <w:b/>
          <w:szCs w:val="24"/>
        </w:rPr>
      </w:pPr>
    </w:p>
    <w:p w:rsidR="0022020A" w:rsidRDefault="0022020A" w:rsidP="0022020A">
      <w:pPr>
        <w:rPr>
          <w:szCs w:val="24"/>
        </w:rPr>
      </w:pPr>
      <w:r>
        <w:rPr>
          <w:b/>
          <w:szCs w:val="24"/>
        </w:rPr>
        <w:t xml:space="preserve">Vaccine: </w:t>
      </w:r>
      <w:r>
        <w:rPr>
          <w:szCs w:val="24"/>
        </w:rPr>
        <w:t xml:space="preserve"> </w:t>
      </w:r>
      <w:r>
        <w:rPr>
          <w:b/>
          <w:szCs w:val="24"/>
        </w:rPr>
        <w:t>Tetanus, Diphtheria or Tetanus, Diphtheria, Pertussis (Td/</w:t>
      </w:r>
      <w:proofErr w:type="spellStart"/>
      <w:r>
        <w:rPr>
          <w:b/>
          <w:szCs w:val="24"/>
        </w:rPr>
        <w:t>Tdap</w:t>
      </w:r>
      <w:proofErr w:type="spellEnd"/>
      <w:r>
        <w:rPr>
          <w:b/>
          <w:szCs w:val="24"/>
        </w:rPr>
        <w:t>)</w:t>
      </w:r>
      <w:r>
        <w:rPr>
          <w:szCs w:val="24"/>
        </w:rPr>
        <w:t xml:space="preserve"> </w:t>
      </w:r>
    </w:p>
    <w:p w:rsidR="0022020A" w:rsidRDefault="0022020A" w:rsidP="0022020A">
      <w:pPr>
        <w:numPr>
          <w:ilvl w:val="0"/>
          <w:numId w:val="2"/>
        </w:numPr>
        <w:spacing w:before="60" w:after="60"/>
        <w:rPr>
          <w:szCs w:val="24"/>
        </w:rPr>
      </w:pPr>
      <w:r>
        <w:rPr>
          <w:szCs w:val="24"/>
        </w:rPr>
        <w:t xml:space="preserve">For children aged 7 through 10 years of age who are not fully vaccinated against pertussis (i.e., 5 doses of </w:t>
      </w:r>
      <w:proofErr w:type="spellStart"/>
      <w:r>
        <w:rPr>
          <w:szCs w:val="24"/>
        </w:rPr>
        <w:t>DTaP</w:t>
      </w:r>
      <w:proofErr w:type="spellEnd"/>
      <w:r>
        <w:rPr>
          <w:szCs w:val="24"/>
        </w:rPr>
        <w:t xml:space="preserve"> vaccine or 4 doses of </w:t>
      </w:r>
      <w:proofErr w:type="spellStart"/>
      <w:r>
        <w:rPr>
          <w:szCs w:val="24"/>
        </w:rPr>
        <w:t>DTaP</w:t>
      </w:r>
      <w:proofErr w:type="spellEnd"/>
      <w:r>
        <w:rPr>
          <w:szCs w:val="24"/>
        </w:rPr>
        <w:t xml:space="preserve"> vaccine if the fourth dose was administered on or after the fourth birthday) and for whom no contraindication to pertussis vaccine exists, administer one dose of </w:t>
      </w:r>
      <w:proofErr w:type="spellStart"/>
      <w:r>
        <w:rPr>
          <w:szCs w:val="24"/>
        </w:rPr>
        <w:t>Tdap</w:t>
      </w:r>
      <w:proofErr w:type="spellEnd"/>
      <w:r>
        <w:rPr>
          <w:szCs w:val="24"/>
        </w:rPr>
        <w:t xml:space="preserve"> vaccine.  If additional doses of tetanus- and diphtheria- toxoid containing vaccines </w:t>
      </w:r>
      <w:proofErr w:type="gramStart"/>
      <w:r>
        <w:rPr>
          <w:szCs w:val="24"/>
        </w:rPr>
        <w:t>are needed</w:t>
      </w:r>
      <w:proofErr w:type="gramEnd"/>
      <w:r>
        <w:rPr>
          <w:szCs w:val="24"/>
        </w:rPr>
        <w:t xml:space="preserve"> in the catch-up series, use Td vaccine, according to the catch-up immunization schedule.  Children who receive </w:t>
      </w:r>
      <w:proofErr w:type="spellStart"/>
      <w:r>
        <w:rPr>
          <w:szCs w:val="24"/>
        </w:rPr>
        <w:t>Tdap</w:t>
      </w:r>
      <w:proofErr w:type="spellEnd"/>
      <w:r>
        <w:rPr>
          <w:szCs w:val="24"/>
        </w:rPr>
        <w:t xml:space="preserve"> vaccine when aged </w:t>
      </w:r>
      <w:proofErr w:type="gramStart"/>
      <w:r>
        <w:rPr>
          <w:szCs w:val="24"/>
        </w:rPr>
        <w:t>7</w:t>
      </w:r>
      <w:proofErr w:type="gramEnd"/>
      <w:r>
        <w:rPr>
          <w:szCs w:val="24"/>
        </w:rPr>
        <w:t xml:space="preserve"> through 10 years </w:t>
      </w:r>
      <w:r w:rsidRPr="00041721">
        <w:rPr>
          <w:szCs w:val="24"/>
        </w:rPr>
        <w:t>(as part of the catch up series)</w:t>
      </w:r>
      <w:r>
        <w:rPr>
          <w:szCs w:val="24"/>
        </w:rPr>
        <w:t xml:space="preserve"> may be given an additional </w:t>
      </w:r>
      <w:proofErr w:type="spellStart"/>
      <w:r>
        <w:rPr>
          <w:szCs w:val="24"/>
        </w:rPr>
        <w:t>Tdap</w:t>
      </w:r>
      <w:proofErr w:type="spellEnd"/>
      <w:r>
        <w:rPr>
          <w:szCs w:val="24"/>
        </w:rPr>
        <w:t xml:space="preserve"> for the routine recommended adolescent dose when aged 11 through 12 years of age.  Td vaccine </w:t>
      </w:r>
      <w:proofErr w:type="gramStart"/>
      <w:r>
        <w:rPr>
          <w:szCs w:val="24"/>
        </w:rPr>
        <w:t>should next be given</w:t>
      </w:r>
      <w:proofErr w:type="gramEnd"/>
      <w:r>
        <w:rPr>
          <w:szCs w:val="24"/>
        </w:rPr>
        <w:t xml:space="preserve"> 10 years after receiving </w:t>
      </w:r>
      <w:proofErr w:type="spellStart"/>
      <w:r>
        <w:rPr>
          <w:szCs w:val="24"/>
        </w:rPr>
        <w:t>Tdap</w:t>
      </w:r>
      <w:proofErr w:type="spellEnd"/>
      <w:r>
        <w:rPr>
          <w:szCs w:val="24"/>
        </w:rPr>
        <w:t xml:space="preserve"> vaccine.</w:t>
      </w:r>
    </w:p>
    <w:p w:rsidR="0022020A" w:rsidRDefault="0022020A" w:rsidP="0022020A">
      <w:pPr>
        <w:numPr>
          <w:ilvl w:val="0"/>
          <w:numId w:val="2"/>
        </w:numPr>
        <w:spacing w:before="120"/>
        <w:rPr>
          <w:szCs w:val="24"/>
        </w:rPr>
      </w:pPr>
      <w:r>
        <w:rPr>
          <w:szCs w:val="24"/>
        </w:rPr>
        <w:t xml:space="preserve">Administer one dose of </w:t>
      </w:r>
      <w:proofErr w:type="spellStart"/>
      <w:r>
        <w:rPr>
          <w:szCs w:val="24"/>
        </w:rPr>
        <w:t>Tdap</w:t>
      </w:r>
      <w:proofErr w:type="spellEnd"/>
      <w:r>
        <w:rPr>
          <w:szCs w:val="24"/>
        </w:rPr>
        <w:t xml:space="preserve"> vaccine to adolescents aged 11 through 18 years who have completed the recommended childhood </w:t>
      </w:r>
      <w:proofErr w:type="spellStart"/>
      <w:r>
        <w:rPr>
          <w:szCs w:val="24"/>
        </w:rPr>
        <w:t>DTaP</w:t>
      </w:r>
      <w:proofErr w:type="spellEnd"/>
      <w:r>
        <w:rPr>
          <w:szCs w:val="24"/>
        </w:rPr>
        <w:t xml:space="preserve">/ DTP vaccination series.  Td booster doses </w:t>
      </w:r>
      <w:proofErr w:type="gramStart"/>
      <w:r>
        <w:rPr>
          <w:szCs w:val="24"/>
        </w:rPr>
        <w:t>should be administered</w:t>
      </w:r>
      <w:proofErr w:type="gramEnd"/>
      <w:r>
        <w:rPr>
          <w:szCs w:val="24"/>
        </w:rPr>
        <w:t xml:space="preserve"> every 10 years, thereafter.  </w:t>
      </w:r>
      <w:proofErr w:type="spellStart"/>
      <w:r>
        <w:rPr>
          <w:szCs w:val="24"/>
        </w:rPr>
        <w:t>Tdap</w:t>
      </w:r>
      <w:proofErr w:type="spellEnd"/>
      <w:r>
        <w:rPr>
          <w:szCs w:val="24"/>
        </w:rPr>
        <w:t xml:space="preserve"> vaccine </w:t>
      </w:r>
      <w:proofErr w:type="gramStart"/>
      <w:r>
        <w:rPr>
          <w:szCs w:val="24"/>
        </w:rPr>
        <w:t>can be administered</w:t>
      </w:r>
      <w:proofErr w:type="gramEnd"/>
      <w:r>
        <w:rPr>
          <w:szCs w:val="24"/>
        </w:rPr>
        <w:t xml:space="preserve"> regardless of the interval since the last tetanus- or diphtheria-toxoid containing vaccine.</w:t>
      </w:r>
    </w:p>
    <w:p w:rsidR="0022020A" w:rsidRDefault="0022020A" w:rsidP="0022020A">
      <w:pPr>
        <w:jc w:val="center"/>
        <w:rPr>
          <w:szCs w:val="24"/>
        </w:rPr>
      </w:pPr>
    </w:p>
    <w:p w:rsidR="0022020A" w:rsidRDefault="0022020A" w:rsidP="0022020A">
      <w:pPr>
        <w:ind w:left="360"/>
        <w:rPr>
          <w:rStyle w:val="Hyperlink"/>
          <w:szCs w:val="24"/>
        </w:rPr>
      </w:pPr>
      <w:r>
        <w:rPr>
          <w:szCs w:val="24"/>
        </w:rPr>
        <w:lastRenderedPageBreak/>
        <w:t xml:space="preserve">*ACIP Recommendations for children 7 to 9 years of age differ from the package inserts.  </w:t>
      </w:r>
      <w:hyperlink r:id="rId7" w:history="1">
        <w:r>
          <w:rPr>
            <w:rStyle w:val="Hyperlink"/>
            <w:szCs w:val="24"/>
          </w:rPr>
          <w:t>http://www.cdc.gov/mmwr/preview/mmwrhtml/mm6001a4.htm</w:t>
        </w:r>
      </w:hyperlink>
    </w:p>
    <w:p w:rsidR="0022020A" w:rsidRDefault="0022020A" w:rsidP="0022020A">
      <w:pPr>
        <w:ind w:left="360"/>
        <w:rPr>
          <w:rStyle w:val="Hyperlink"/>
          <w:szCs w:val="24"/>
        </w:rPr>
      </w:pPr>
    </w:p>
    <w:p w:rsidR="0022020A" w:rsidRDefault="0022020A">
      <w:pPr>
        <w:spacing w:after="160" w:line="259" w:lineRule="auto"/>
        <w:rPr>
          <w:b/>
          <w:sz w:val="28"/>
          <w:szCs w:val="28"/>
        </w:rPr>
      </w:pPr>
    </w:p>
    <w:p w:rsidR="0022020A" w:rsidRPr="00CB3340" w:rsidRDefault="0022020A" w:rsidP="0022020A">
      <w:pPr>
        <w:ind w:left="360"/>
        <w:jc w:val="center"/>
        <w:rPr>
          <w:szCs w:val="24"/>
        </w:rPr>
      </w:pPr>
      <w:r>
        <w:rPr>
          <w:b/>
          <w:sz w:val="28"/>
          <w:szCs w:val="28"/>
        </w:rPr>
        <w:t>Catch-Up Schedule for Persons Aged 7 through 18 Years</w:t>
      </w:r>
      <w:r>
        <w:rPr>
          <w:b/>
        </w:rPr>
        <w:br/>
      </w:r>
      <w:r>
        <w:rPr>
          <w:rFonts w:cs="Zurich BT"/>
          <w:b/>
          <w:bCs/>
          <w:szCs w:val="24"/>
        </w:rPr>
        <w:t>Who Start Late or Who Are More Than 1 Month Behind</w:t>
      </w:r>
    </w:p>
    <w:p w:rsidR="0022020A" w:rsidRDefault="0022020A" w:rsidP="0022020A">
      <w:pPr>
        <w:jc w:val="center"/>
        <w:rPr>
          <w:rFonts w:cs="Zurich BT"/>
          <w:b/>
          <w:bCs/>
          <w:szCs w:val="24"/>
        </w:rPr>
      </w:pPr>
    </w:p>
    <w:p w:rsidR="0022020A" w:rsidRDefault="0022020A" w:rsidP="0022020A">
      <w:pPr>
        <w:rPr>
          <w:szCs w:val="24"/>
        </w:rPr>
      </w:pPr>
      <w:r>
        <w:rPr>
          <w:b/>
          <w:szCs w:val="24"/>
        </w:rPr>
        <w:t>Vaccine:  Tetanus, Diphtheria (Td) or Tetanus, Diphtheria Acellular Pertussis (</w:t>
      </w:r>
      <w:proofErr w:type="spellStart"/>
      <w:r>
        <w:rPr>
          <w:b/>
          <w:szCs w:val="24"/>
        </w:rPr>
        <w:t>Tdap</w:t>
      </w:r>
      <w:proofErr w:type="spellEnd"/>
      <w:r>
        <w:rPr>
          <w:b/>
          <w:sz w:val="28"/>
          <w:szCs w:val="28"/>
        </w:rPr>
        <w:t>).</w:t>
      </w:r>
      <w:r>
        <w:rPr>
          <w:szCs w:val="24"/>
        </w:rPr>
        <w:t xml:space="preserve">  </w:t>
      </w:r>
      <w:r>
        <w:rPr>
          <w:szCs w:val="24"/>
        </w:rPr>
        <w:br/>
        <w:t xml:space="preserve">See the “Catch-up immunization schedule for persons aged 4 months through 18 years who start late or who are more than 1 month behind— United States, 2014” for more information, </w:t>
      </w:r>
      <w:hyperlink r:id="rId8" w:history="1">
        <w:r>
          <w:rPr>
            <w:rStyle w:val="Hyperlink"/>
            <w:szCs w:val="24"/>
          </w:rPr>
          <w:t>http://www.cdc.gov/vaccines/schedules/downloads/child/0-18yrs-child-combined-schedule.pdf</w:t>
        </w:r>
      </w:hyperlink>
      <w:r>
        <w:rPr>
          <w:szCs w:val="24"/>
        </w:rPr>
        <w:t>.</w:t>
      </w:r>
    </w:p>
    <w:p w:rsidR="0022020A" w:rsidRDefault="0022020A" w:rsidP="0022020A">
      <w:pPr>
        <w:pStyle w:val="bullet-in-a-box"/>
        <w:spacing w:after="120"/>
        <w:rPr>
          <w:b/>
        </w:rPr>
      </w:pPr>
    </w:p>
    <w:p w:rsidR="0022020A" w:rsidRDefault="0022020A" w:rsidP="0022020A">
      <w:pPr>
        <w:numPr>
          <w:ilvl w:val="0"/>
          <w:numId w:val="3"/>
        </w:numPr>
        <w:spacing w:before="60" w:after="60"/>
        <w:rPr>
          <w:szCs w:val="24"/>
        </w:rPr>
      </w:pPr>
      <w:r>
        <w:rPr>
          <w:szCs w:val="24"/>
        </w:rPr>
        <w:t xml:space="preserve">An inadvertent dose of </w:t>
      </w:r>
      <w:proofErr w:type="spellStart"/>
      <w:r>
        <w:rPr>
          <w:szCs w:val="24"/>
        </w:rPr>
        <w:t>DTaP</w:t>
      </w:r>
      <w:proofErr w:type="spellEnd"/>
      <w:r>
        <w:rPr>
          <w:szCs w:val="24"/>
        </w:rPr>
        <w:t xml:space="preserve"> vaccine administered to children aged </w:t>
      </w:r>
      <w:proofErr w:type="gramStart"/>
      <w:r>
        <w:rPr>
          <w:szCs w:val="24"/>
        </w:rPr>
        <w:t>7</w:t>
      </w:r>
      <w:proofErr w:type="gramEnd"/>
      <w:r>
        <w:rPr>
          <w:szCs w:val="24"/>
        </w:rPr>
        <w:t xml:space="preserve"> through 10 years may count as part of the catch-up series.  This dose can count as the adolescent </w:t>
      </w:r>
      <w:proofErr w:type="spellStart"/>
      <w:r>
        <w:rPr>
          <w:szCs w:val="24"/>
        </w:rPr>
        <w:t>Tdap</w:t>
      </w:r>
      <w:proofErr w:type="spellEnd"/>
      <w:r>
        <w:rPr>
          <w:szCs w:val="24"/>
        </w:rPr>
        <w:t xml:space="preserve"> dose, or the child can later receive a </w:t>
      </w:r>
      <w:proofErr w:type="spellStart"/>
      <w:r>
        <w:rPr>
          <w:szCs w:val="24"/>
        </w:rPr>
        <w:t>Tdap</w:t>
      </w:r>
      <w:proofErr w:type="spellEnd"/>
      <w:r>
        <w:rPr>
          <w:szCs w:val="24"/>
        </w:rPr>
        <w:t xml:space="preserve"> booster at age 11 through 12 years.</w:t>
      </w:r>
    </w:p>
    <w:p w:rsidR="0022020A" w:rsidRDefault="0022020A" w:rsidP="0022020A">
      <w:pPr>
        <w:numPr>
          <w:ilvl w:val="0"/>
          <w:numId w:val="3"/>
        </w:numPr>
        <w:spacing w:before="60" w:after="60"/>
        <w:rPr>
          <w:szCs w:val="24"/>
        </w:rPr>
      </w:pPr>
      <w:r>
        <w:rPr>
          <w:szCs w:val="24"/>
        </w:rPr>
        <w:t xml:space="preserve">An inadvertent dose of </w:t>
      </w:r>
      <w:proofErr w:type="spellStart"/>
      <w:r>
        <w:rPr>
          <w:szCs w:val="24"/>
        </w:rPr>
        <w:t>DTaP</w:t>
      </w:r>
      <w:proofErr w:type="spellEnd"/>
      <w:r>
        <w:rPr>
          <w:szCs w:val="24"/>
        </w:rPr>
        <w:t xml:space="preserve"> vaccine administered to an adolescent aged 11 through 18 years may count as part of the catch-up series.  This dose </w:t>
      </w:r>
      <w:proofErr w:type="gramStart"/>
      <w:r>
        <w:rPr>
          <w:szCs w:val="24"/>
        </w:rPr>
        <w:t>should be counted</w:t>
      </w:r>
      <w:proofErr w:type="gramEnd"/>
      <w:r>
        <w:rPr>
          <w:szCs w:val="24"/>
        </w:rPr>
        <w:t xml:space="preserve"> as the adolescent </w:t>
      </w:r>
      <w:proofErr w:type="spellStart"/>
      <w:r>
        <w:rPr>
          <w:szCs w:val="24"/>
        </w:rPr>
        <w:t>Tdap</w:t>
      </w:r>
      <w:proofErr w:type="spellEnd"/>
      <w:r>
        <w:rPr>
          <w:szCs w:val="24"/>
        </w:rPr>
        <w:t xml:space="preserve"> dose.</w:t>
      </w:r>
    </w:p>
    <w:p w:rsidR="0022020A" w:rsidRDefault="0022020A" w:rsidP="0022020A">
      <w:pPr>
        <w:pStyle w:val="ListParagraph"/>
        <w:numPr>
          <w:ilvl w:val="0"/>
          <w:numId w:val="3"/>
        </w:numPr>
        <w:spacing w:before="60" w:after="60"/>
        <w:rPr>
          <w:szCs w:val="24"/>
        </w:rPr>
      </w:pPr>
      <w:r>
        <w:rPr>
          <w:szCs w:val="24"/>
        </w:rPr>
        <w:t xml:space="preserve">Children aged </w:t>
      </w:r>
      <w:proofErr w:type="gramStart"/>
      <w:r>
        <w:rPr>
          <w:szCs w:val="24"/>
        </w:rPr>
        <w:t>7</w:t>
      </w:r>
      <w:proofErr w:type="gramEnd"/>
      <w:r>
        <w:rPr>
          <w:szCs w:val="24"/>
        </w:rPr>
        <w:t xml:space="preserve"> through 10 years who are not fully immunized with the childhood </w:t>
      </w:r>
      <w:proofErr w:type="spellStart"/>
      <w:r>
        <w:rPr>
          <w:szCs w:val="24"/>
        </w:rPr>
        <w:t>DTaP</w:t>
      </w:r>
      <w:proofErr w:type="spellEnd"/>
      <w:r>
        <w:rPr>
          <w:szCs w:val="24"/>
        </w:rPr>
        <w:t xml:space="preserve"> vaccine series, should receive </w:t>
      </w:r>
      <w:proofErr w:type="spellStart"/>
      <w:r>
        <w:rPr>
          <w:szCs w:val="24"/>
        </w:rPr>
        <w:t>Tdap</w:t>
      </w:r>
      <w:proofErr w:type="spellEnd"/>
      <w:r>
        <w:rPr>
          <w:szCs w:val="24"/>
        </w:rPr>
        <w:t xml:space="preserve"> vaccine as the first dose in the catch-up series.  They </w:t>
      </w:r>
      <w:proofErr w:type="gramStart"/>
      <w:r>
        <w:rPr>
          <w:szCs w:val="24"/>
        </w:rPr>
        <w:t>may be given</w:t>
      </w:r>
      <w:proofErr w:type="gramEnd"/>
      <w:r>
        <w:rPr>
          <w:szCs w:val="24"/>
        </w:rPr>
        <w:t xml:space="preserve"> an additional </w:t>
      </w:r>
      <w:proofErr w:type="spellStart"/>
      <w:r>
        <w:rPr>
          <w:szCs w:val="24"/>
        </w:rPr>
        <w:t>Tdap</w:t>
      </w:r>
      <w:proofErr w:type="spellEnd"/>
      <w:r>
        <w:rPr>
          <w:szCs w:val="24"/>
        </w:rPr>
        <w:t xml:space="preserve"> for the routinely recommended adolescent dose at 11-12 years of age.  Td </w:t>
      </w:r>
      <w:proofErr w:type="gramStart"/>
      <w:r>
        <w:rPr>
          <w:szCs w:val="24"/>
        </w:rPr>
        <w:t>should be administered</w:t>
      </w:r>
      <w:proofErr w:type="gramEnd"/>
      <w:r>
        <w:rPr>
          <w:szCs w:val="24"/>
        </w:rPr>
        <w:t xml:space="preserve"> 10 years after the </w:t>
      </w:r>
      <w:proofErr w:type="spellStart"/>
      <w:r>
        <w:rPr>
          <w:szCs w:val="24"/>
        </w:rPr>
        <w:t>Tdap</w:t>
      </w:r>
      <w:proofErr w:type="spellEnd"/>
      <w:r>
        <w:rPr>
          <w:szCs w:val="24"/>
        </w:rPr>
        <w:t xml:space="preserve"> dose.</w:t>
      </w:r>
    </w:p>
    <w:p w:rsidR="0022020A" w:rsidRDefault="0022020A" w:rsidP="0022020A">
      <w:pPr>
        <w:numPr>
          <w:ilvl w:val="0"/>
          <w:numId w:val="3"/>
        </w:numPr>
        <w:spacing w:before="60" w:after="60"/>
        <w:rPr>
          <w:szCs w:val="24"/>
        </w:rPr>
      </w:pPr>
      <w:r>
        <w:rPr>
          <w:szCs w:val="24"/>
        </w:rPr>
        <w:t xml:space="preserve">Those persons aged </w:t>
      </w:r>
      <w:proofErr w:type="gramStart"/>
      <w:r>
        <w:rPr>
          <w:szCs w:val="24"/>
        </w:rPr>
        <w:t>7</w:t>
      </w:r>
      <w:proofErr w:type="gramEnd"/>
      <w:r>
        <w:rPr>
          <w:szCs w:val="24"/>
        </w:rPr>
        <w:t xml:space="preserve"> through 18 years who were never vaccinated against tetanus, diphtheria, or pertussis or who have unknown vaccination status should receive a series of three vaccinations containing tetanus and diphtheria toxoids.  The first of these three doses should be a single dose of </w:t>
      </w:r>
      <w:proofErr w:type="spellStart"/>
      <w:r>
        <w:rPr>
          <w:szCs w:val="24"/>
        </w:rPr>
        <w:t>Tdap</w:t>
      </w:r>
      <w:proofErr w:type="spellEnd"/>
      <w:r>
        <w:rPr>
          <w:szCs w:val="24"/>
        </w:rPr>
        <w:t xml:space="preserve"> vaccine.</w:t>
      </w:r>
    </w:p>
    <w:p w:rsidR="0022020A" w:rsidRDefault="0022020A" w:rsidP="0022020A">
      <w:pPr>
        <w:numPr>
          <w:ilvl w:val="0"/>
          <w:numId w:val="3"/>
        </w:numPr>
        <w:spacing w:before="60" w:after="60"/>
        <w:rPr>
          <w:szCs w:val="24"/>
        </w:rPr>
      </w:pPr>
      <w:r>
        <w:rPr>
          <w:szCs w:val="24"/>
        </w:rPr>
        <w:t xml:space="preserve">The information below provides catch-up schedules and minimum intervals for children whose vaccinations </w:t>
      </w:r>
      <w:proofErr w:type="gramStart"/>
      <w:r>
        <w:rPr>
          <w:szCs w:val="24"/>
        </w:rPr>
        <w:t>have been delayed</w:t>
      </w:r>
      <w:proofErr w:type="gramEnd"/>
      <w:r>
        <w:rPr>
          <w:szCs w:val="24"/>
        </w:rPr>
        <w:t xml:space="preserve">.  A vaccine series does not need to </w:t>
      </w:r>
      <w:proofErr w:type="gramStart"/>
      <w:r>
        <w:rPr>
          <w:szCs w:val="24"/>
        </w:rPr>
        <w:t>be restarted</w:t>
      </w:r>
      <w:proofErr w:type="gramEnd"/>
      <w:r>
        <w:rPr>
          <w:szCs w:val="24"/>
        </w:rPr>
        <w:t xml:space="preserve">, regardless of the time that has elapsed between doses.  </w:t>
      </w:r>
      <w:proofErr w:type="spellStart"/>
      <w:r>
        <w:rPr>
          <w:szCs w:val="24"/>
        </w:rPr>
        <w:t>Tdap</w:t>
      </w:r>
      <w:proofErr w:type="spellEnd"/>
      <w:r>
        <w:rPr>
          <w:szCs w:val="24"/>
        </w:rPr>
        <w:t xml:space="preserve"> vaccine </w:t>
      </w:r>
      <w:proofErr w:type="gramStart"/>
      <w:r>
        <w:rPr>
          <w:szCs w:val="24"/>
        </w:rPr>
        <w:t>should be substituted</w:t>
      </w:r>
      <w:proofErr w:type="gramEnd"/>
      <w:r>
        <w:rPr>
          <w:szCs w:val="24"/>
        </w:rPr>
        <w:t xml:space="preserve"> for a single dose of Td vaccine in the catch-up series.</w:t>
      </w:r>
    </w:p>
    <w:p w:rsidR="0022020A" w:rsidRDefault="0022020A" w:rsidP="0022020A">
      <w:pPr>
        <w:pStyle w:val="ListParagraph"/>
        <w:numPr>
          <w:ilvl w:val="0"/>
          <w:numId w:val="4"/>
        </w:numPr>
        <w:spacing w:before="60" w:after="60"/>
        <w:rPr>
          <w:szCs w:val="24"/>
        </w:rPr>
      </w:pPr>
      <w:r>
        <w:rPr>
          <w:szCs w:val="24"/>
        </w:rPr>
        <w:t xml:space="preserve">Administer </w:t>
      </w:r>
      <w:proofErr w:type="spellStart"/>
      <w:r>
        <w:rPr>
          <w:szCs w:val="24"/>
        </w:rPr>
        <w:t>Tdap</w:t>
      </w:r>
      <w:proofErr w:type="spellEnd"/>
      <w:r>
        <w:rPr>
          <w:szCs w:val="24"/>
        </w:rPr>
        <w:t xml:space="preserve"> as dose 1 at a minimum age of 7 years.</w:t>
      </w:r>
    </w:p>
    <w:p w:rsidR="0022020A" w:rsidRDefault="0022020A" w:rsidP="0022020A">
      <w:pPr>
        <w:pStyle w:val="ListParagraph"/>
        <w:numPr>
          <w:ilvl w:val="0"/>
          <w:numId w:val="4"/>
        </w:numPr>
        <w:spacing w:before="60" w:after="60"/>
        <w:rPr>
          <w:b/>
          <w:szCs w:val="24"/>
        </w:rPr>
      </w:pPr>
      <w:r>
        <w:rPr>
          <w:szCs w:val="24"/>
        </w:rPr>
        <w:t xml:space="preserve">Administer Td as dose 2 with a minimum interval of 4 weeks between </w:t>
      </w:r>
      <w:r>
        <w:rPr>
          <w:szCs w:val="24"/>
        </w:rPr>
        <w:br/>
        <w:t>dose 1 to dose 2</w:t>
      </w:r>
    </w:p>
    <w:p w:rsidR="0022020A" w:rsidRDefault="0022020A" w:rsidP="0022020A">
      <w:pPr>
        <w:pStyle w:val="ListParagraph"/>
        <w:numPr>
          <w:ilvl w:val="0"/>
          <w:numId w:val="4"/>
        </w:numPr>
        <w:spacing w:before="60" w:after="60"/>
        <w:rPr>
          <w:b/>
          <w:szCs w:val="24"/>
        </w:rPr>
      </w:pPr>
      <w:r>
        <w:rPr>
          <w:szCs w:val="24"/>
        </w:rPr>
        <w:t>Administer Td as dose 3 with a minimum interval between dose 2 to dose 3 of:</w:t>
      </w:r>
    </w:p>
    <w:p w:rsidR="0022020A" w:rsidRDefault="0022020A" w:rsidP="0022020A">
      <w:pPr>
        <w:numPr>
          <w:ilvl w:val="1"/>
          <w:numId w:val="5"/>
        </w:numPr>
        <w:spacing w:before="60" w:after="60"/>
        <w:ind w:left="1800"/>
        <w:rPr>
          <w:szCs w:val="24"/>
        </w:rPr>
      </w:pPr>
      <w:r>
        <w:rPr>
          <w:szCs w:val="24"/>
        </w:rPr>
        <w:t>4 weeks</w:t>
      </w:r>
      <w:r>
        <w:rPr>
          <w:b/>
          <w:szCs w:val="24"/>
        </w:rPr>
        <w:t xml:space="preserve">, </w:t>
      </w:r>
      <w:r>
        <w:rPr>
          <w:szCs w:val="24"/>
        </w:rPr>
        <w:t xml:space="preserve">if first dose </w:t>
      </w:r>
      <w:r w:rsidRPr="00FF6006">
        <w:rPr>
          <w:rFonts w:eastAsia="Calibri"/>
          <w:color w:val="auto"/>
          <w:szCs w:val="24"/>
        </w:rPr>
        <w:t xml:space="preserve">of </w:t>
      </w:r>
      <w:proofErr w:type="spellStart"/>
      <w:r w:rsidRPr="00FF6006">
        <w:rPr>
          <w:rFonts w:eastAsia="Calibri"/>
          <w:color w:val="auto"/>
          <w:szCs w:val="24"/>
        </w:rPr>
        <w:t>DTaP</w:t>
      </w:r>
      <w:proofErr w:type="spellEnd"/>
      <w:r w:rsidRPr="00FF6006">
        <w:rPr>
          <w:rFonts w:eastAsia="Calibri"/>
          <w:color w:val="auto"/>
          <w:szCs w:val="24"/>
        </w:rPr>
        <w:t>/DT</w:t>
      </w:r>
      <w:r>
        <w:rPr>
          <w:szCs w:val="24"/>
        </w:rPr>
        <w:t xml:space="preserve"> was administered at younger than age 12 months</w:t>
      </w:r>
    </w:p>
    <w:p w:rsidR="0022020A" w:rsidRDefault="0022020A" w:rsidP="0022020A">
      <w:pPr>
        <w:numPr>
          <w:ilvl w:val="1"/>
          <w:numId w:val="5"/>
        </w:numPr>
        <w:spacing w:before="60" w:after="60"/>
        <w:ind w:left="1800"/>
        <w:rPr>
          <w:szCs w:val="24"/>
        </w:rPr>
      </w:pPr>
      <w:r>
        <w:rPr>
          <w:szCs w:val="24"/>
        </w:rPr>
        <w:t xml:space="preserve">6 months, if first dose </w:t>
      </w:r>
      <w:r w:rsidRPr="00FF6006">
        <w:rPr>
          <w:rFonts w:eastAsia="Calibri"/>
          <w:color w:val="auto"/>
          <w:szCs w:val="24"/>
        </w:rPr>
        <w:t xml:space="preserve">of </w:t>
      </w:r>
      <w:proofErr w:type="spellStart"/>
      <w:r w:rsidRPr="00FF6006">
        <w:rPr>
          <w:rFonts w:eastAsia="Calibri"/>
          <w:color w:val="auto"/>
          <w:szCs w:val="24"/>
        </w:rPr>
        <w:t>DTaP</w:t>
      </w:r>
      <w:proofErr w:type="spellEnd"/>
      <w:r w:rsidRPr="00FF6006">
        <w:rPr>
          <w:rFonts w:eastAsia="Calibri"/>
          <w:color w:val="auto"/>
          <w:szCs w:val="24"/>
        </w:rPr>
        <w:t>/DT</w:t>
      </w:r>
      <w:r>
        <w:rPr>
          <w:szCs w:val="24"/>
        </w:rPr>
        <w:t xml:space="preserve"> was administered at age 12 months or older and then no further doses are needed for catch-up</w:t>
      </w:r>
    </w:p>
    <w:p w:rsidR="0022020A" w:rsidRDefault="0022020A" w:rsidP="0022020A">
      <w:pPr>
        <w:numPr>
          <w:ilvl w:val="0"/>
          <w:numId w:val="4"/>
        </w:numPr>
        <w:spacing w:before="60" w:after="60"/>
        <w:rPr>
          <w:szCs w:val="24"/>
        </w:rPr>
      </w:pPr>
      <w:r>
        <w:rPr>
          <w:szCs w:val="24"/>
        </w:rPr>
        <w:lastRenderedPageBreak/>
        <w:t xml:space="preserve">For some children, administer Td as dose 4 with a minimum interval between </w:t>
      </w:r>
      <w:proofErr w:type="gramStart"/>
      <w:r>
        <w:rPr>
          <w:szCs w:val="24"/>
        </w:rPr>
        <w:t>dose</w:t>
      </w:r>
      <w:proofErr w:type="gramEnd"/>
      <w:r>
        <w:rPr>
          <w:szCs w:val="24"/>
        </w:rPr>
        <w:t xml:space="preserve"> 3 to dose 4 of 6 months, if first dose </w:t>
      </w:r>
      <w:r w:rsidRPr="00FF6006">
        <w:rPr>
          <w:rFonts w:eastAsia="Calibri"/>
          <w:color w:val="auto"/>
          <w:szCs w:val="24"/>
        </w:rPr>
        <w:t xml:space="preserve">of </w:t>
      </w:r>
      <w:proofErr w:type="spellStart"/>
      <w:r w:rsidRPr="00FF6006">
        <w:rPr>
          <w:rFonts w:eastAsia="Calibri"/>
          <w:color w:val="auto"/>
          <w:szCs w:val="24"/>
        </w:rPr>
        <w:t>DTaP</w:t>
      </w:r>
      <w:proofErr w:type="spellEnd"/>
      <w:r w:rsidRPr="00FF6006">
        <w:rPr>
          <w:rFonts w:eastAsia="Calibri"/>
          <w:color w:val="auto"/>
          <w:szCs w:val="24"/>
        </w:rPr>
        <w:t>/DT</w:t>
      </w:r>
      <w:r>
        <w:rPr>
          <w:szCs w:val="24"/>
        </w:rPr>
        <w:t xml:space="preserve"> was administered at younger than age 12 months. </w:t>
      </w:r>
    </w:p>
    <w:p w:rsidR="0022020A" w:rsidRDefault="0022020A" w:rsidP="0022020A">
      <w:pPr>
        <w:rPr>
          <w:szCs w:val="24"/>
        </w:rPr>
      </w:pPr>
    </w:p>
    <w:p w:rsidR="0022020A" w:rsidRDefault="0022020A" w:rsidP="0022020A">
      <w:pPr>
        <w:pStyle w:val="ListParagraph"/>
        <w:spacing w:before="60"/>
      </w:pPr>
      <w:r>
        <w:t xml:space="preserve">*ACIP Recommendations for children aged </w:t>
      </w:r>
      <w:proofErr w:type="gramStart"/>
      <w:r>
        <w:t>7</w:t>
      </w:r>
      <w:proofErr w:type="gramEnd"/>
      <w:r>
        <w:t xml:space="preserve"> through 9 years of age differ from the package inserts.  </w:t>
      </w:r>
      <w:hyperlink r:id="rId9" w:history="1">
        <w:r>
          <w:rPr>
            <w:rStyle w:val="Hyperlink"/>
          </w:rPr>
          <w:t>http://www.cdc.gov/mmwr/preview/mmwrhtml/mm6001a4.htm</w:t>
        </w:r>
      </w:hyperlink>
      <w:r>
        <w:t>.</w:t>
      </w:r>
    </w:p>
    <w:p w:rsidR="0022020A" w:rsidRDefault="0022020A" w:rsidP="0022020A">
      <w:pPr>
        <w:pStyle w:val="ListParagraph"/>
        <w:keepNext/>
        <w:keepLines/>
        <w:tabs>
          <w:tab w:val="left" w:pos="4548"/>
        </w:tabs>
        <w:spacing w:before="60"/>
        <w:jc w:val="center"/>
        <w:rPr>
          <w:rFonts w:eastAsia="Arial Unicode MS"/>
          <w:b/>
          <w:sz w:val="28"/>
          <w:szCs w:val="28"/>
        </w:rPr>
      </w:pPr>
      <w:r>
        <w:rPr>
          <w:rFonts w:eastAsia="Arial Unicode MS"/>
          <w:b/>
          <w:sz w:val="28"/>
          <w:szCs w:val="28"/>
        </w:rPr>
        <w:t>Additional Information</w:t>
      </w:r>
    </w:p>
    <w:p w:rsidR="0022020A" w:rsidRDefault="0022020A" w:rsidP="0022020A">
      <w:pPr>
        <w:jc w:val="center"/>
        <w:rPr>
          <w:rFonts w:eastAsia="Arial Unicode MS"/>
          <w:b/>
        </w:rPr>
      </w:pPr>
    </w:p>
    <w:p w:rsidR="0022020A" w:rsidRDefault="0022020A" w:rsidP="0022020A">
      <w:pPr>
        <w:rPr>
          <w:rFonts w:eastAsia="Arial Unicode MS"/>
        </w:rPr>
      </w:pPr>
      <w:proofErr w:type="gramStart"/>
      <w:r>
        <w:rPr>
          <w:rFonts w:eastAsia="Arial Unicode MS"/>
          <w:b/>
        </w:rPr>
        <w:t xml:space="preserve">Preventing Spread of Pertussis to Infants by Vaccinating Their Adolescent Contacts:  </w:t>
      </w:r>
      <w:r>
        <w:rPr>
          <w:rFonts w:eastAsia="Arial Unicode MS"/>
        </w:rPr>
        <w:t xml:space="preserve">Administer a single dose of </w:t>
      </w:r>
      <w:proofErr w:type="spellStart"/>
      <w:r>
        <w:rPr>
          <w:rFonts w:eastAsia="Arial Unicode MS"/>
        </w:rPr>
        <w:t>Tdap</w:t>
      </w:r>
      <w:proofErr w:type="spellEnd"/>
      <w:r>
        <w:rPr>
          <w:rFonts w:eastAsia="Arial Unicode MS"/>
        </w:rPr>
        <w:t xml:space="preserve"> to adolescents (e.g., parents, siblings, child-care providers, and health care personnel) who have or anticipate having close contact with an infant aged less than 12 months, if they have not received </w:t>
      </w:r>
      <w:proofErr w:type="spellStart"/>
      <w:r>
        <w:rPr>
          <w:rFonts w:eastAsia="Arial Unicode MS"/>
        </w:rPr>
        <w:t>Tdap</w:t>
      </w:r>
      <w:proofErr w:type="spellEnd"/>
      <w:r>
        <w:rPr>
          <w:rFonts w:eastAsia="Arial Unicode MS"/>
        </w:rPr>
        <w:t xml:space="preserve"> previously, and ideally at least 2 weeks before beginning close contact with the infant.</w:t>
      </w:r>
      <w:proofErr w:type="gramEnd"/>
      <w:r>
        <w:rPr>
          <w:rFonts w:eastAsia="Arial Unicode MS"/>
        </w:rPr>
        <w:t xml:space="preserve">  </w:t>
      </w:r>
      <w:proofErr w:type="spellStart"/>
      <w:r>
        <w:rPr>
          <w:rFonts w:eastAsia="Arial Unicode MS"/>
        </w:rPr>
        <w:t>Tdap</w:t>
      </w:r>
      <w:proofErr w:type="spellEnd"/>
      <w:r>
        <w:rPr>
          <w:rFonts w:eastAsia="Arial Unicode MS"/>
        </w:rPr>
        <w:t xml:space="preserve"> </w:t>
      </w:r>
      <w:proofErr w:type="gramStart"/>
      <w:r>
        <w:rPr>
          <w:rFonts w:eastAsia="Arial Unicode MS"/>
        </w:rPr>
        <w:t>can be administered</w:t>
      </w:r>
      <w:proofErr w:type="gramEnd"/>
      <w:r>
        <w:rPr>
          <w:rFonts w:eastAsia="Arial Unicode MS"/>
        </w:rPr>
        <w:t xml:space="preserve"> regardless of the interval since the last tetanus or diphtheria toxoid containing vaccine.</w:t>
      </w:r>
    </w:p>
    <w:p w:rsidR="0022020A" w:rsidRDefault="0022020A" w:rsidP="0022020A">
      <w:pPr>
        <w:rPr>
          <w:rFonts w:eastAsia="Arial Unicode MS"/>
        </w:rPr>
      </w:pPr>
    </w:p>
    <w:p w:rsidR="0022020A" w:rsidRDefault="0022020A" w:rsidP="0022020A">
      <w:pPr>
        <w:rPr>
          <w:rFonts w:eastAsia="Arial Unicode MS"/>
          <w:szCs w:val="24"/>
        </w:rPr>
      </w:pPr>
      <w:proofErr w:type="gramStart"/>
      <w:r>
        <w:rPr>
          <w:rFonts w:eastAsia="Arial Unicode MS"/>
          <w:b/>
          <w:szCs w:val="24"/>
        </w:rPr>
        <w:t xml:space="preserve">During Pertussis Outbreaks:  </w:t>
      </w:r>
      <w:r>
        <w:rPr>
          <w:rFonts w:eastAsia="Arial Unicode MS"/>
          <w:szCs w:val="24"/>
        </w:rPr>
        <w:t xml:space="preserve">Administer a single dose of </w:t>
      </w:r>
      <w:proofErr w:type="spellStart"/>
      <w:r>
        <w:rPr>
          <w:rFonts w:eastAsia="Arial Unicode MS"/>
          <w:szCs w:val="24"/>
        </w:rPr>
        <w:t>Tdap</w:t>
      </w:r>
      <w:proofErr w:type="spellEnd"/>
      <w:r>
        <w:rPr>
          <w:rFonts w:eastAsia="Arial Unicode MS"/>
          <w:szCs w:val="24"/>
        </w:rPr>
        <w:t xml:space="preserve"> vaccine to children and adolescents aged 10 through 18 years who have never received </w:t>
      </w:r>
      <w:proofErr w:type="spellStart"/>
      <w:r>
        <w:rPr>
          <w:rFonts w:eastAsia="Arial Unicode MS"/>
          <w:szCs w:val="24"/>
        </w:rPr>
        <w:t>Tdap</w:t>
      </w:r>
      <w:proofErr w:type="spellEnd"/>
      <w:r>
        <w:rPr>
          <w:rFonts w:eastAsia="Arial Unicode MS"/>
          <w:szCs w:val="24"/>
        </w:rPr>
        <w:t xml:space="preserve"> vaccine.</w:t>
      </w:r>
      <w:proofErr w:type="gramEnd"/>
    </w:p>
    <w:p w:rsidR="0022020A" w:rsidRDefault="0022020A" w:rsidP="0022020A">
      <w:pPr>
        <w:rPr>
          <w:rFonts w:eastAsia="Arial Unicode MS"/>
          <w:szCs w:val="24"/>
        </w:rPr>
      </w:pPr>
    </w:p>
    <w:p w:rsidR="0022020A" w:rsidRDefault="0022020A" w:rsidP="0022020A">
      <w:pPr>
        <w:rPr>
          <w:rFonts w:eastAsia="Arial Unicode MS"/>
          <w:szCs w:val="24"/>
        </w:rPr>
      </w:pPr>
    </w:p>
    <w:p w:rsidR="0022020A" w:rsidRDefault="0022020A" w:rsidP="0022020A">
      <w:pPr>
        <w:keepNext/>
        <w:keepLines/>
        <w:jc w:val="center"/>
        <w:rPr>
          <w:rFonts w:eastAsia="Arial Unicode MS"/>
          <w:b/>
          <w:sz w:val="28"/>
          <w:szCs w:val="28"/>
        </w:rPr>
      </w:pPr>
      <w:r>
        <w:rPr>
          <w:rFonts w:eastAsia="Arial Unicode MS"/>
          <w:b/>
          <w:sz w:val="28"/>
          <w:szCs w:val="28"/>
        </w:rPr>
        <w:t xml:space="preserve">Primary Vaccination Series for Persons Aged </w:t>
      </w:r>
    </w:p>
    <w:p w:rsidR="0022020A" w:rsidRDefault="0022020A" w:rsidP="0022020A">
      <w:pPr>
        <w:keepNext/>
        <w:keepLines/>
        <w:jc w:val="center"/>
        <w:rPr>
          <w:rFonts w:eastAsia="Arial Unicode MS"/>
          <w:szCs w:val="24"/>
        </w:rPr>
      </w:pPr>
      <w:r>
        <w:rPr>
          <w:rFonts w:eastAsia="Arial Unicode MS"/>
          <w:b/>
          <w:sz w:val="28"/>
          <w:szCs w:val="28"/>
        </w:rPr>
        <w:t>19 Years and Older</w:t>
      </w:r>
    </w:p>
    <w:p w:rsidR="0022020A" w:rsidRDefault="0022020A" w:rsidP="0022020A">
      <w:pPr>
        <w:keepNext/>
        <w:keepLines/>
      </w:pPr>
    </w:p>
    <w:p w:rsidR="0022020A" w:rsidRDefault="0022020A" w:rsidP="0022020A">
      <w:pPr>
        <w:rPr>
          <w:b/>
          <w:szCs w:val="24"/>
        </w:rPr>
      </w:pPr>
      <w:r>
        <w:rPr>
          <w:b/>
          <w:szCs w:val="24"/>
        </w:rPr>
        <w:t>Vaccine:  Tetanus, Diphtheria (Td) or Tetanus, Diphtheria Acellular Pertussis (</w:t>
      </w:r>
      <w:proofErr w:type="spellStart"/>
      <w:r>
        <w:rPr>
          <w:b/>
          <w:szCs w:val="24"/>
        </w:rPr>
        <w:t>Tdap</w:t>
      </w:r>
      <w:proofErr w:type="spellEnd"/>
      <w:r>
        <w:rPr>
          <w:b/>
          <w:szCs w:val="24"/>
        </w:rPr>
        <w:t>) *</w:t>
      </w:r>
    </w:p>
    <w:p w:rsidR="0022020A" w:rsidRDefault="0022020A" w:rsidP="0022020A">
      <w:pPr>
        <w:rPr>
          <w:szCs w:val="24"/>
        </w:rPr>
      </w:pPr>
      <w:r>
        <w:rPr>
          <w:szCs w:val="24"/>
        </w:rPr>
        <w:t xml:space="preserve">(Substitute a single dose of </w:t>
      </w:r>
      <w:proofErr w:type="spellStart"/>
      <w:r>
        <w:rPr>
          <w:szCs w:val="24"/>
        </w:rPr>
        <w:t>Tdap</w:t>
      </w:r>
      <w:proofErr w:type="spellEnd"/>
      <w:r>
        <w:rPr>
          <w:szCs w:val="24"/>
        </w:rPr>
        <w:t xml:space="preserve"> vaccine for any of the Td doses)</w:t>
      </w:r>
    </w:p>
    <w:p w:rsidR="0022020A" w:rsidRDefault="0022020A" w:rsidP="0022020A">
      <w:pPr>
        <w:rPr>
          <w:szCs w:val="24"/>
        </w:rPr>
      </w:pPr>
    </w:p>
    <w:p w:rsidR="0022020A" w:rsidRDefault="0022020A" w:rsidP="0022020A">
      <w:pPr>
        <w:numPr>
          <w:ilvl w:val="0"/>
          <w:numId w:val="3"/>
        </w:numPr>
        <w:rPr>
          <w:rFonts w:eastAsia="Arial Unicode MS" w:cs="Arial Unicode MS"/>
          <w:b/>
          <w:szCs w:val="24"/>
        </w:rPr>
      </w:pPr>
      <w:r>
        <w:rPr>
          <w:rFonts w:eastAsia="Arial Unicode MS" w:cs="Arial Unicode MS"/>
          <w:szCs w:val="24"/>
        </w:rPr>
        <w:t xml:space="preserve">Administer dose 1 at a minimum age of 19 years.  </w:t>
      </w:r>
    </w:p>
    <w:p w:rsidR="0022020A" w:rsidRDefault="0022020A" w:rsidP="0022020A">
      <w:pPr>
        <w:numPr>
          <w:ilvl w:val="1"/>
          <w:numId w:val="3"/>
        </w:numPr>
        <w:ind w:left="1656"/>
        <w:rPr>
          <w:rFonts w:eastAsia="Arial Unicode MS" w:cs="Arial Unicode MS"/>
          <w:b/>
          <w:szCs w:val="24"/>
        </w:rPr>
      </w:pPr>
      <w:r>
        <w:rPr>
          <w:rFonts w:eastAsia="Arial Unicode MS" w:cs="Arial Unicode MS"/>
          <w:szCs w:val="24"/>
        </w:rPr>
        <w:t>BOOSTRIX</w:t>
      </w:r>
      <w:r>
        <w:rPr>
          <w:rFonts w:eastAsia="Arial Unicode MS" w:cs="Arial Unicode MS"/>
          <w:position w:val="6"/>
          <w:szCs w:val="24"/>
        </w:rPr>
        <w:sym w:font="Symbol" w:char="F0E2"/>
      </w:r>
      <w:r>
        <w:rPr>
          <w:rFonts w:eastAsia="Arial Unicode MS" w:cs="Arial Unicode MS"/>
          <w:szCs w:val="24"/>
        </w:rPr>
        <w:t xml:space="preserve"> </w:t>
      </w:r>
      <w:proofErr w:type="gramStart"/>
      <w:r>
        <w:rPr>
          <w:rFonts w:eastAsia="Arial Unicode MS" w:cs="Arial Unicode MS"/>
          <w:szCs w:val="24"/>
        </w:rPr>
        <w:t>is licensed</w:t>
      </w:r>
      <w:proofErr w:type="gramEnd"/>
      <w:r>
        <w:rPr>
          <w:rFonts w:eastAsia="Arial Unicode MS" w:cs="Arial Unicode MS"/>
          <w:szCs w:val="24"/>
        </w:rPr>
        <w:t xml:space="preserve"> for use in individuals aged 10 years and older</w:t>
      </w:r>
      <w:r>
        <w:rPr>
          <w:rFonts w:eastAsia="Arial Unicode MS" w:cs="Arial Unicode MS"/>
          <w:b/>
          <w:szCs w:val="24"/>
        </w:rPr>
        <w:t xml:space="preserve">.  </w:t>
      </w:r>
    </w:p>
    <w:p w:rsidR="0022020A" w:rsidRDefault="0022020A" w:rsidP="0022020A">
      <w:pPr>
        <w:numPr>
          <w:ilvl w:val="1"/>
          <w:numId w:val="3"/>
        </w:numPr>
        <w:ind w:left="1656"/>
        <w:rPr>
          <w:rFonts w:eastAsia="Arial Unicode MS" w:cs="Arial Unicode MS"/>
          <w:b/>
          <w:szCs w:val="24"/>
        </w:rPr>
      </w:pPr>
      <w:r>
        <w:rPr>
          <w:rFonts w:eastAsia="Arial Unicode MS" w:cs="Arial Unicode MS"/>
          <w:szCs w:val="24"/>
        </w:rPr>
        <w:t>ADACEL</w:t>
      </w:r>
      <w:r>
        <w:rPr>
          <w:rFonts w:eastAsia="Arial Unicode MS" w:cs="Arial Unicode MS"/>
          <w:position w:val="6"/>
          <w:szCs w:val="24"/>
        </w:rPr>
        <w:sym w:font="Symbol" w:char="F0E2"/>
      </w:r>
      <w:r>
        <w:rPr>
          <w:rFonts w:eastAsia="Arial Unicode MS" w:cs="Arial Unicode MS"/>
          <w:b/>
          <w:szCs w:val="24"/>
        </w:rPr>
        <w:t xml:space="preserve"> </w:t>
      </w:r>
      <w:proofErr w:type="gramStart"/>
      <w:r>
        <w:rPr>
          <w:rFonts w:eastAsia="Arial Unicode MS" w:cs="Arial Unicode MS"/>
          <w:szCs w:val="24"/>
        </w:rPr>
        <w:t>is licensed</w:t>
      </w:r>
      <w:proofErr w:type="gramEnd"/>
      <w:r>
        <w:rPr>
          <w:rFonts w:eastAsia="Arial Unicode MS" w:cs="Arial Unicode MS"/>
          <w:szCs w:val="24"/>
        </w:rPr>
        <w:t xml:space="preserve"> for use in individuals aged 10 through 64 years</w:t>
      </w:r>
      <w:r>
        <w:rPr>
          <w:rFonts w:eastAsia="Arial Unicode MS" w:cs="Arial Unicode MS"/>
          <w:b/>
          <w:szCs w:val="24"/>
        </w:rPr>
        <w:t xml:space="preserve">. </w:t>
      </w:r>
      <w:r>
        <w:rPr>
          <w:rFonts w:eastAsia="Arial Unicode MS" w:cs="Arial Unicode MS"/>
          <w:szCs w:val="24"/>
        </w:rPr>
        <w:t>**</w:t>
      </w:r>
    </w:p>
    <w:p w:rsidR="0022020A" w:rsidRDefault="0022020A" w:rsidP="0022020A">
      <w:pPr>
        <w:numPr>
          <w:ilvl w:val="0"/>
          <w:numId w:val="3"/>
        </w:numPr>
        <w:spacing w:before="60"/>
        <w:rPr>
          <w:szCs w:val="24"/>
        </w:rPr>
      </w:pPr>
      <w:r>
        <w:rPr>
          <w:szCs w:val="24"/>
        </w:rPr>
        <w:t xml:space="preserve">Administer dose 2 at a minimum interval of 4 weeks between dose 1 to dose 2 </w:t>
      </w:r>
    </w:p>
    <w:p w:rsidR="0022020A" w:rsidRDefault="0022020A" w:rsidP="0022020A">
      <w:pPr>
        <w:numPr>
          <w:ilvl w:val="0"/>
          <w:numId w:val="3"/>
        </w:numPr>
        <w:spacing w:before="60"/>
      </w:pPr>
      <w:r>
        <w:rPr>
          <w:szCs w:val="24"/>
        </w:rPr>
        <w:t xml:space="preserve">Administer dose 3 at a minimum interval of </w:t>
      </w:r>
      <w:r>
        <w:t xml:space="preserve">6 months through 12 months between </w:t>
      </w:r>
      <w:r>
        <w:br/>
        <w:t>dose 2 to dose 3</w:t>
      </w:r>
    </w:p>
    <w:p w:rsidR="0022020A" w:rsidRDefault="0022020A" w:rsidP="0022020A">
      <w:pPr>
        <w:ind w:left="720"/>
      </w:pPr>
      <w:r>
        <w:t>Footnotes:</w:t>
      </w:r>
    </w:p>
    <w:p w:rsidR="0022020A" w:rsidRDefault="0022020A" w:rsidP="0022020A">
      <w:pPr>
        <w:spacing w:before="60" w:after="60"/>
        <w:ind w:left="1080"/>
        <w:rPr>
          <w:rFonts w:eastAsia="Arial Unicode MS"/>
          <w:szCs w:val="24"/>
        </w:rPr>
      </w:pPr>
      <w:r>
        <w:rPr>
          <w:rFonts w:eastAsia="Arial Unicode MS"/>
          <w:szCs w:val="24"/>
        </w:rPr>
        <w:t xml:space="preserve">*Adults with an unknown or incomplete history of a complete primary vaccination series with tetanus- and diphtheria-toxoid--containing vaccines should begin or complete a primary vaccination series.  A primary series for adults is </w:t>
      </w:r>
      <w:proofErr w:type="gramStart"/>
      <w:r>
        <w:rPr>
          <w:rFonts w:eastAsia="Arial Unicode MS"/>
          <w:szCs w:val="24"/>
        </w:rPr>
        <w:t>3</w:t>
      </w:r>
      <w:proofErr w:type="gramEnd"/>
      <w:r>
        <w:rPr>
          <w:rFonts w:eastAsia="Arial Unicode MS"/>
          <w:szCs w:val="24"/>
        </w:rPr>
        <w:t xml:space="preserve"> doses of tetanus- and diphtheria-toxoid containing vaccines; administer the first 2 doses at least 4 weeks apart and the third dose 6 through 12 months after the second.  However, a single dose of </w:t>
      </w:r>
      <w:proofErr w:type="spellStart"/>
      <w:r>
        <w:rPr>
          <w:rFonts w:eastAsia="Arial Unicode MS"/>
          <w:szCs w:val="24"/>
        </w:rPr>
        <w:t>Tdap</w:t>
      </w:r>
      <w:proofErr w:type="spellEnd"/>
      <w:r>
        <w:rPr>
          <w:rFonts w:eastAsia="Arial Unicode MS"/>
          <w:szCs w:val="24"/>
        </w:rPr>
        <w:t xml:space="preserve"> can substitute for any one of the doses of Td in the </w:t>
      </w:r>
      <w:r>
        <w:rPr>
          <w:rFonts w:eastAsia="Arial Unicode MS"/>
          <w:szCs w:val="24"/>
        </w:rPr>
        <w:br/>
        <w:t xml:space="preserve">3-dose primary series.  For incompletely vaccinated adults (i.e., less than </w:t>
      </w:r>
      <w:proofErr w:type="gramStart"/>
      <w:r>
        <w:rPr>
          <w:rFonts w:eastAsia="Arial Unicode MS"/>
          <w:szCs w:val="24"/>
        </w:rPr>
        <w:t>3</w:t>
      </w:r>
      <w:proofErr w:type="gramEnd"/>
      <w:r>
        <w:rPr>
          <w:rFonts w:eastAsia="Arial Unicode MS"/>
          <w:szCs w:val="24"/>
        </w:rPr>
        <w:t xml:space="preserve"> doses), administer the remaining doses.  The booster dose of tetanus- and diphtheria-toxoid containing vaccine should be administered to adults who have completed a primary series and if the last vaccination was received 10 or more years previously.  </w:t>
      </w:r>
      <w:proofErr w:type="spellStart"/>
      <w:r>
        <w:rPr>
          <w:rFonts w:eastAsia="Arial Unicode MS"/>
          <w:szCs w:val="24"/>
        </w:rPr>
        <w:t>Tdap</w:t>
      </w:r>
      <w:proofErr w:type="spellEnd"/>
      <w:r>
        <w:rPr>
          <w:rFonts w:eastAsia="Arial Unicode MS"/>
          <w:szCs w:val="24"/>
        </w:rPr>
        <w:t xml:space="preserve"> is preferred for the first booster dose, but Td vaccine may be used.  </w:t>
      </w:r>
      <w:r>
        <w:rPr>
          <w:b/>
          <w:szCs w:val="24"/>
        </w:rPr>
        <w:t xml:space="preserve">Td vaccine </w:t>
      </w:r>
      <w:proofErr w:type="gramStart"/>
      <w:r>
        <w:rPr>
          <w:b/>
          <w:szCs w:val="24"/>
        </w:rPr>
        <w:t xml:space="preserve">should </w:t>
      </w:r>
      <w:r>
        <w:rPr>
          <w:b/>
          <w:szCs w:val="24"/>
        </w:rPr>
        <w:lastRenderedPageBreak/>
        <w:t>next be given</w:t>
      </w:r>
      <w:proofErr w:type="gramEnd"/>
      <w:r>
        <w:rPr>
          <w:b/>
          <w:szCs w:val="24"/>
        </w:rPr>
        <w:t xml:space="preserve"> 10 years after receiving </w:t>
      </w:r>
      <w:proofErr w:type="spellStart"/>
      <w:r>
        <w:rPr>
          <w:b/>
          <w:szCs w:val="24"/>
        </w:rPr>
        <w:t>Tdap</w:t>
      </w:r>
      <w:proofErr w:type="spellEnd"/>
      <w:r>
        <w:rPr>
          <w:b/>
          <w:szCs w:val="24"/>
        </w:rPr>
        <w:t xml:space="preserve"> vaccine except for pregnant women who should receive a dose of </w:t>
      </w:r>
      <w:proofErr w:type="spellStart"/>
      <w:r>
        <w:rPr>
          <w:b/>
          <w:szCs w:val="24"/>
        </w:rPr>
        <w:t>Tdap</w:t>
      </w:r>
      <w:proofErr w:type="spellEnd"/>
      <w:r>
        <w:rPr>
          <w:b/>
          <w:szCs w:val="24"/>
        </w:rPr>
        <w:t xml:space="preserve"> during each pregnancy</w:t>
      </w:r>
      <w:r>
        <w:rPr>
          <w:rFonts w:eastAsia="Arial Unicode MS"/>
          <w:szCs w:val="24"/>
        </w:rPr>
        <w:t xml:space="preserve">.  For adults who have not received </w:t>
      </w:r>
      <w:proofErr w:type="spellStart"/>
      <w:r>
        <w:rPr>
          <w:rFonts w:eastAsia="Arial Unicode MS"/>
          <w:szCs w:val="24"/>
        </w:rPr>
        <w:t>Tdap</w:t>
      </w:r>
      <w:proofErr w:type="spellEnd"/>
      <w:r>
        <w:rPr>
          <w:rFonts w:eastAsia="Arial Unicode MS"/>
          <w:szCs w:val="24"/>
        </w:rPr>
        <w:t xml:space="preserve"> previously, </w:t>
      </w:r>
      <w:proofErr w:type="spellStart"/>
      <w:r>
        <w:rPr>
          <w:rFonts w:eastAsia="Arial Unicode MS"/>
          <w:szCs w:val="24"/>
        </w:rPr>
        <w:t>Tdap</w:t>
      </w:r>
      <w:proofErr w:type="spellEnd"/>
      <w:r>
        <w:rPr>
          <w:rFonts w:eastAsia="Arial Unicode MS"/>
          <w:szCs w:val="24"/>
        </w:rPr>
        <w:t xml:space="preserve"> </w:t>
      </w:r>
      <w:proofErr w:type="gramStart"/>
      <w:r>
        <w:rPr>
          <w:rFonts w:eastAsia="Arial Unicode MS"/>
          <w:szCs w:val="24"/>
        </w:rPr>
        <w:t>can be administered</w:t>
      </w:r>
      <w:proofErr w:type="gramEnd"/>
      <w:r>
        <w:rPr>
          <w:rFonts w:eastAsia="Arial Unicode MS"/>
          <w:szCs w:val="24"/>
        </w:rPr>
        <w:t xml:space="preserve"> regardless of interval since the most recent tetanus- or diphtheria-toxoid containing vaccine.</w:t>
      </w:r>
    </w:p>
    <w:p w:rsidR="0022020A" w:rsidRDefault="0022020A" w:rsidP="0022020A">
      <w:pPr>
        <w:spacing w:before="60" w:after="60"/>
        <w:ind w:left="1080"/>
        <w:rPr>
          <w:rFonts w:eastAsia="Arial Unicode MS"/>
        </w:rPr>
      </w:pPr>
    </w:p>
    <w:p w:rsidR="0022020A" w:rsidRDefault="0022020A" w:rsidP="0022020A">
      <w:pPr>
        <w:pStyle w:val="ListParagraph"/>
        <w:spacing w:before="60" w:after="60"/>
        <w:ind w:left="0"/>
        <w:rPr>
          <w:rFonts w:eastAsia="Arial Unicode MS"/>
        </w:rPr>
      </w:pPr>
      <w:r>
        <w:rPr>
          <w:rFonts w:eastAsia="Arial Unicode MS"/>
        </w:rPr>
        <w:t xml:space="preserve">**ACIP Recommendations in 2012 stated that either </w:t>
      </w:r>
      <w:proofErr w:type="spellStart"/>
      <w:r>
        <w:rPr>
          <w:rFonts w:eastAsia="Arial Unicode MS"/>
        </w:rPr>
        <w:t>Tdap</w:t>
      </w:r>
      <w:proofErr w:type="spellEnd"/>
      <w:r>
        <w:rPr>
          <w:rFonts w:eastAsia="Arial Unicode MS"/>
        </w:rPr>
        <w:t xml:space="preserve"> vaccine brand </w:t>
      </w:r>
      <w:proofErr w:type="gramStart"/>
      <w:r>
        <w:rPr>
          <w:rFonts w:eastAsia="Arial Unicode MS"/>
        </w:rPr>
        <w:t>may</w:t>
      </w:r>
      <w:proofErr w:type="gramEnd"/>
      <w:r>
        <w:rPr>
          <w:rFonts w:eastAsia="Arial Unicode MS"/>
        </w:rPr>
        <w:t xml:space="preserve"> be used for adults aged 65 years and older, </w:t>
      </w:r>
      <w:hyperlink r:id="rId10" w:history="1">
        <w:r>
          <w:rPr>
            <w:rStyle w:val="Hyperlink"/>
            <w:rFonts w:eastAsia="Arial Unicode MS"/>
          </w:rPr>
          <w:t>http://www.cdc.gov/mmwr/preview/mmwrhtml/mm6125a4.htm</w:t>
        </w:r>
      </w:hyperlink>
      <w:r>
        <w:rPr>
          <w:rFonts w:eastAsia="Arial Unicode MS"/>
        </w:rPr>
        <w:t>.</w:t>
      </w:r>
      <w:r>
        <w:t xml:space="preserve"> </w:t>
      </w:r>
    </w:p>
    <w:p w:rsidR="00DD06F1" w:rsidRDefault="00DD06F1" w:rsidP="0022020A">
      <w:pPr>
        <w:jc w:val="center"/>
        <w:rPr>
          <w:b/>
          <w:sz w:val="28"/>
          <w:szCs w:val="28"/>
        </w:rPr>
      </w:pPr>
    </w:p>
    <w:p w:rsidR="0022020A" w:rsidRDefault="0022020A" w:rsidP="0022020A">
      <w:pPr>
        <w:jc w:val="center"/>
      </w:pPr>
      <w:r>
        <w:rPr>
          <w:b/>
          <w:sz w:val="28"/>
          <w:szCs w:val="28"/>
        </w:rPr>
        <w:t xml:space="preserve">Recommended Immunization Schedule for Adults with a </w:t>
      </w:r>
      <w:r>
        <w:rPr>
          <w:b/>
          <w:sz w:val="28"/>
          <w:szCs w:val="28"/>
        </w:rPr>
        <w:br/>
        <w:t>Complete Primary Vaccination Series with Tetanus- and Diphtheria-Toxoid Containing Vaccines</w:t>
      </w:r>
    </w:p>
    <w:p w:rsidR="0022020A" w:rsidRDefault="0022020A" w:rsidP="0022020A"/>
    <w:p w:rsidR="0022020A" w:rsidRDefault="0022020A" w:rsidP="0022020A">
      <w:r>
        <w:rPr>
          <w:b/>
          <w:szCs w:val="24"/>
        </w:rPr>
        <w:t xml:space="preserve">Vaccine: </w:t>
      </w:r>
      <w:r>
        <w:rPr>
          <w:szCs w:val="24"/>
        </w:rPr>
        <w:t xml:space="preserve"> </w:t>
      </w:r>
      <w:r>
        <w:rPr>
          <w:b/>
          <w:szCs w:val="24"/>
        </w:rPr>
        <w:t xml:space="preserve">Tetanus, </w:t>
      </w:r>
      <w:r>
        <w:rPr>
          <w:rFonts w:ascii="Times New Roman Bold" w:hAnsi="Times New Roman Bold"/>
          <w:b/>
          <w:szCs w:val="24"/>
        </w:rPr>
        <w:t xml:space="preserve">Diphtheria and Tetanus, Diphtheria </w:t>
      </w:r>
      <w:r>
        <w:rPr>
          <w:b/>
          <w:szCs w:val="24"/>
        </w:rPr>
        <w:t>Pertussis (Td/</w:t>
      </w:r>
      <w:proofErr w:type="spellStart"/>
      <w:r>
        <w:rPr>
          <w:b/>
          <w:szCs w:val="24"/>
        </w:rPr>
        <w:t>Tdap</w:t>
      </w:r>
      <w:proofErr w:type="spellEnd"/>
      <w:r>
        <w:rPr>
          <w:b/>
          <w:sz w:val="28"/>
          <w:szCs w:val="28"/>
        </w:rPr>
        <w:t>)</w:t>
      </w:r>
      <w:r>
        <w:rPr>
          <w:szCs w:val="24"/>
        </w:rPr>
        <w:t xml:space="preserve"> </w:t>
      </w:r>
    </w:p>
    <w:p w:rsidR="0022020A" w:rsidRDefault="0022020A" w:rsidP="0022020A">
      <w:pPr>
        <w:numPr>
          <w:ilvl w:val="0"/>
          <w:numId w:val="2"/>
        </w:numPr>
        <w:spacing w:before="120"/>
        <w:rPr>
          <w:szCs w:val="24"/>
        </w:rPr>
      </w:pPr>
      <w:r>
        <w:rPr>
          <w:szCs w:val="24"/>
        </w:rPr>
        <w:t xml:space="preserve">Adults aged 19 years and older:  Administer a single dose of </w:t>
      </w:r>
      <w:proofErr w:type="spellStart"/>
      <w:r>
        <w:rPr>
          <w:szCs w:val="24"/>
        </w:rPr>
        <w:t>Tdap</w:t>
      </w:r>
      <w:proofErr w:type="spellEnd"/>
      <w:r>
        <w:rPr>
          <w:szCs w:val="24"/>
        </w:rPr>
        <w:t xml:space="preserve"> vaccine to all adults </w:t>
      </w:r>
      <w:proofErr w:type="gramStart"/>
      <w:r>
        <w:rPr>
          <w:szCs w:val="24"/>
        </w:rPr>
        <w:t xml:space="preserve">who have not previously received </w:t>
      </w:r>
      <w:proofErr w:type="spellStart"/>
      <w:r>
        <w:rPr>
          <w:szCs w:val="24"/>
        </w:rPr>
        <w:t>Tdap</w:t>
      </w:r>
      <w:proofErr w:type="spellEnd"/>
      <w:r>
        <w:rPr>
          <w:szCs w:val="24"/>
        </w:rPr>
        <w:t xml:space="preserve"> or for whom vaccine status is unknown</w:t>
      </w:r>
      <w:proofErr w:type="gramEnd"/>
      <w:r>
        <w:rPr>
          <w:szCs w:val="24"/>
        </w:rPr>
        <w:t xml:space="preserve">.  </w:t>
      </w:r>
      <w:proofErr w:type="spellStart"/>
      <w:r>
        <w:rPr>
          <w:szCs w:val="24"/>
        </w:rPr>
        <w:t>Tdap</w:t>
      </w:r>
      <w:proofErr w:type="spellEnd"/>
      <w:r>
        <w:rPr>
          <w:szCs w:val="24"/>
        </w:rPr>
        <w:t xml:space="preserve"> </w:t>
      </w:r>
      <w:proofErr w:type="gramStart"/>
      <w:r>
        <w:rPr>
          <w:szCs w:val="24"/>
        </w:rPr>
        <w:t>can be administered</w:t>
      </w:r>
      <w:proofErr w:type="gramEnd"/>
      <w:r>
        <w:rPr>
          <w:szCs w:val="24"/>
        </w:rPr>
        <w:t xml:space="preserve"> regardless of the interval since the last tetanus- or diphtheria-toxoid containing vaccine. </w:t>
      </w:r>
      <w:r>
        <w:t>*</w:t>
      </w:r>
    </w:p>
    <w:p w:rsidR="0022020A" w:rsidRDefault="0022020A" w:rsidP="0022020A">
      <w:pPr>
        <w:numPr>
          <w:ilvl w:val="0"/>
          <w:numId w:val="2"/>
        </w:numPr>
        <w:spacing w:before="120"/>
        <w:rPr>
          <w:szCs w:val="24"/>
        </w:rPr>
      </w:pPr>
      <w:r>
        <w:rPr>
          <w:szCs w:val="24"/>
        </w:rPr>
        <w:t xml:space="preserve">Adults aged 19 years and older:  Administer 1 dose of Td booster every 10 years (substitute a 1 time dose of </w:t>
      </w:r>
      <w:proofErr w:type="spellStart"/>
      <w:r>
        <w:rPr>
          <w:szCs w:val="24"/>
        </w:rPr>
        <w:t>Tdap</w:t>
      </w:r>
      <w:proofErr w:type="spellEnd"/>
      <w:r>
        <w:rPr>
          <w:szCs w:val="24"/>
        </w:rPr>
        <w:t xml:space="preserve"> vaccine for Td)</w:t>
      </w:r>
    </w:p>
    <w:p w:rsidR="0022020A" w:rsidRDefault="0022020A" w:rsidP="0022020A">
      <w:pPr>
        <w:numPr>
          <w:ilvl w:val="0"/>
          <w:numId w:val="2"/>
        </w:numPr>
        <w:spacing w:before="120"/>
        <w:rPr>
          <w:szCs w:val="24"/>
        </w:rPr>
      </w:pPr>
      <w:r>
        <w:rPr>
          <w:szCs w:val="24"/>
        </w:rPr>
        <w:t xml:space="preserve">Pregnancy:  Administer one dose of </w:t>
      </w:r>
      <w:proofErr w:type="spellStart"/>
      <w:r>
        <w:rPr>
          <w:szCs w:val="24"/>
        </w:rPr>
        <w:t>Tdap</w:t>
      </w:r>
      <w:proofErr w:type="spellEnd"/>
      <w:r>
        <w:rPr>
          <w:szCs w:val="24"/>
        </w:rPr>
        <w:t xml:space="preserve"> vaccine during each pregnancy for adolescents aged 11 through 18 years and for adults aged 19 years and older, regardless of the patient’s prior history of receiving </w:t>
      </w:r>
      <w:proofErr w:type="spellStart"/>
      <w:r>
        <w:rPr>
          <w:szCs w:val="24"/>
        </w:rPr>
        <w:t>Tdap</w:t>
      </w:r>
      <w:proofErr w:type="spellEnd"/>
      <w:r>
        <w:rPr>
          <w:szCs w:val="24"/>
        </w:rPr>
        <w:t xml:space="preserve"> or Td vaccine.  </w:t>
      </w:r>
    </w:p>
    <w:p w:rsidR="0022020A" w:rsidRDefault="0022020A" w:rsidP="0022020A">
      <w:pPr>
        <w:numPr>
          <w:ilvl w:val="0"/>
          <w:numId w:val="2"/>
        </w:numPr>
        <w:spacing w:before="120"/>
        <w:rPr>
          <w:szCs w:val="24"/>
        </w:rPr>
      </w:pPr>
      <w:r>
        <w:rPr>
          <w:szCs w:val="24"/>
        </w:rPr>
        <w:t xml:space="preserve">Adult contacts and caregivers of infants:  Administer a single dose of </w:t>
      </w:r>
      <w:proofErr w:type="spellStart"/>
      <w:r>
        <w:rPr>
          <w:szCs w:val="24"/>
        </w:rPr>
        <w:t>Tdap</w:t>
      </w:r>
      <w:proofErr w:type="spellEnd"/>
      <w:r>
        <w:rPr>
          <w:szCs w:val="24"/>
        </w:rPr>
        <w:t xml:space="preserve"> vaccine to adult household contacts and caregivers of infants less than 12 months who have never received </w:t>
      </w:r>
      <w:proofErr w:type="spellStart"/>
      <w:r>
        <w:rPr>
          <w:szCs w:val="24"/>
        </w:rPr>
        <w:t>Tdap</w:t>
      </w:r>
      <w:proofErr w:type="spellEnd"/>
      <w:r>
        <w:rPr>
          <w:szCs w:val="24"/>
        </w:rPr>
        <w:t xml:space="preserve"> vaccine, regardless of the interval since the last tetanus or diphtheria toxoid containing vaccine.</w:t>
      </w:r>
    </w:p>
    <w:p w:rsidR="0022020A" w:rsidRDefault="0022020A" w:rsidP="0022020A">
      <w:pPr>
        <w:numPr>
          <w:ilvl w:val="0"/>
          <w:numId w:val="2"/>
        </w:numPr>
        <w:spacing w:before="120"/>
        <w:rPr>
          <w:szCs w:val="24"/>
        </w:rPr>
      </w:pPr>
      <w:r>
        <w:rPr>
          <w:szCs w:val="24"/>
        </w:rPr>
        <w:t xml:space="preserve">Health care personnel:  Administer a single dose of </w:t>
      </w:r>
      <w:proofErr w:type="spellStart"/>
      <w:r>
        <w:rPr>
          <w:szCs w:val="24"/>
        </w:rPr>
        <w:t>Tdap</w:t>
      </w:r>
      <w:proofErr w:type="spellEnd"/>
      <w:r>
        <w:rPr>
          <w:szCs w:val="24"/>
        </w:rPr>
        <w:t xml:space="preserve"> vaccine to health care workers who have direct patient contact who have never received </w:t>
      </w:r>
      <w:proofErr w:type="spellStart"/>
      <w:r>
        <w:rPr>
          <w:szCs w:val="24"/>
        </w:rPr>
        <w:t>Tdap</w:t>
      </w:r>
      <w:proofErr w:type="spellEnd"/>
      <w:r>
        <w:rPr>
          <w:szCs w:val="24"/>
        </w:rPr>
        <w:t xml:space="preserve"> vaccine, regardless of the interval since the last tetanus or diphtheria toxoid containing vaccine.</w:t>
      </w:r>
    </w:p>
    <w:p w:rsidR="0022020A" w:rsidRDefault="0022020A" w:rsidP="0022020A">
      <w:pPr>
        <w:numPr>
          <w:ilvl w:val="0"/>
          <w:numId w:val="2"/>
        </w:numPr>
        <w:spacing w:before="120"/>
        <w:rPr>
          <w:szCs w:val="24"/>
        </w:rPr>
      </w:pPr>
      <w:r>
        <w:rPr>
          <w:szCs w:val="24"/>
        </w:rPr>
        <w:t>Age appropriate doses of Td/</w:t>
      </w:r>
      <w:proofErr w:type="spellStart"/>
      <w:r>
        <w:rPr>
          <w:szCs w:val="24"/>
        </w:rPr>
        <w:t>Tdap</w:t>
      </w:r>
      <w:proofErr w:type="spellEnd"/>
      <w:r>
        <w:rPr>
          <w:szCs w:val="24"/>
        </w:rPr>
        <w:t xml:space="preserve"> may be indicated for adults with the following special indications: </w:t>
      </w:r>
    </w:p>
    <w:p w:rsidR="0022020A" w:rsidRDefault="0022020A" w:rsidP="0022020A">
      <w:pPr>
        <w:numPr>
          <w:ilvl w:val="1"/>
          <w:numId w:val="2"/>
        </w:numPr>
        <w:spacing w:before="120"/>
      </w:pPr>
      <w:r>
        <w:t>Immunocompromising conditions (e.g. those caused by human immunodeficiency virus (HIV) infections, medications, radiation)</w:t>
      </w:r>
    </w:p>
    <w:p w:rsidR="0022020A" w:rsidRDefault="0022020A" w:rsidP="0022020A">
      <w:pPr>
        <w:numPr>
          <w:ilvl w:val="1"/>
          <w:numId w:val="2"/>
        </w:numPr>
        <w:spacing w:before="120"/>
      </w:pPr>
      <w:r>
        <w:t>Diabetes, heart disease, chronic pulmonary disease, chronic alcoholism</w:t>
      </w:r>
    </w:p>
    <w:p w:rsidR="0022020A" w:rsidRDefault="0022020A" w:rsidP="0022020A">
      <w:pPr>
        <w:numPr>
          <w:ilvl w:val="1"/>
          <w:numId w:val="2"/>
        </w:numPr>
        <w:spacing w:before="120"/>
      </w:pPr>
      <w:proofErr w:type="spellStart"/>
      <w:r>
        <w:t>Asplenia</w:t>
      </w:r>
      <w:proofErr w:type="spellEnd"/>
      <w:r>
        <w:t xml:space="preserve"> (including elective splenectomy and terminal complement component deficiencies)</w:t>
      </w:r>
    </w:p>
    <w:p w:rsidR="0022020A" w:rsidRDefault="0022020A" w:rsidP="0022020A">
      <w:pPr>
        <w:numPr>
          <w:ilvl w:val="1"/>
          <w:numId w:val="2"/>
        </w:numPr>
        <w:spacing w:before="120"/>
      </w:pPr>
      <w:r>
        <w:t>Chronic liver disease</w:t>
      </w:r>
    </w:p>
    <w:p w:rsidR="0022020A" w:rsidRDefault="0022020A" w:rsidP="0022020A">
      <w:pPr>
        <w:numPr>
          <w:ilvl w:val="1"/>
          <w:numId w:val="2"/>
        </w:numPr>
        <w:spacing w:before="120"/>
      </w:pPr>
      <w:r>
        <w:t>Kidney failure, end-stage renal disease, receipt of hemodialysis</w:t>
      </w:r>
    </w:p>
    <w:p w:rsidR="0022020A" w:rsidRDefault="0022020A" w:rsidP="0022020A">
      <w:pPr>
        <w:spacing w:before="120"/>
      </w:pPr>
    </w:p>
    <w:p w:rsidR="0022020A" w:rsidRDefault="0022020A" w:rsidP="0022020A">
      <w:pPr>
        <w:ind w:left="720"/>
      </w:pPr>
      <w:r>
        <w:rPr>
          <w:b/>
        </w:rPr>
        <w:lastRenderedPageBreak/>
        <w:t>*</w:t>
      </w:r>
      <w:r>
        <w:t>Footnote:</w:t>
      </w:r>
    </w:p>
    <w:p w:rsidR="0022020A" w:rsidRDefault="0022020A" w:rsidP="0022020A">
      <w:pPr>
        <w:ind w:left="864"/>
        <w:rPr>
          <w:rFonts w:eastAsia="Arial Unicode MS"/>
        </w:rPr>
      </w:pPr>
      <w:r>
        <w:rPr>
          <w:rFonts w:eastAsia="Arial Unicode MS"/>
        </w:rPr>
        <w:t xml:space="preserve">Administer a single dose of </w:t>
      </w:r>
      <w:proofErr w:type="spellStart"/>
      <w:r>
        <w:rPr>
          <w:rFonts w:eastAsia="Arial Unicode MS"/>
        </w:rPr>
        <w:t>Tdap</w:t>
      </w:r>
      <w:proofErr w:type="spellEnd"/>
      <w:r>
        <w:rPr>
          <w:rFonts w:eastAsia="Arial Unicode MS"/>
        </w:rPr>
        <w:t xml:space="preserve"> to adults (e.g., parents, siblings, grandparents, child-care providers, and health care personnel) who have or anticipate having close contact with an infant aged less than 12 months, if they have not previously received </w:t>
      </w:r>
      <w:proofErr w:type="spellStart"/>
      <w:r>
        <w:rPr>
          <w:rFonts w:eastAsia="Arial Unicode MS"/>
        </w:rPr>
        <w:t>Tdap</w:t>
      </w:r>
      <w:proofErr w:type="spellEnd"/>
      <w:r>
        <w:rPr>
          <w:rFonts w:eastAsia="Arial Unicode MS"/>
        </w:rPr>
        <w:t xml:space="preserve"> and ideally at least 2 weeks before beginning close contact with the infant.  </w:t>
      </w:r>
      <w:proofErr w:type="spellStart"/>
      <w:r>
        <w:rPr>
          <w:rFonts w:eastAsia="Arial Unicode MS"/>
        </w:rPr>
        <w:t>Tdap</w:t>
      </w:r>
      <w:proofErr w:type="spellEnd"/>
      <w:r>
        <w:rPr>
          <w:rFonts w:eastAsia="Arial Unicode MS"/>
        </w:rPr>
        <w:t xml:space="preserve"> </w:t>
      </w:r>
      <w:proofErr w:type="gramStart"/>
      <w:r>
        <w:rPr>
          <w:rFonts w:eastAsia="Arial Unicode MS"/>
        </w:rPr>
        <w:t>can be administered</w:t>
      </w:r>
      <w:proofErr w:type="gramEnd"/>
      <w:r>
        <w:rPr>
          <w:rFonts w:eastAsia="Arial Unicode MS"/>
        </w:rPr>
        <w:t xml:space="preserve"> regardless of the interval since the last tetanus or diphtheria toxoid containing vaccine.</w:t>
      </w:r>
    </w:p>
    <w:p w:rsidR="00DD06F1" w:rsidRDefault="00DD06F1" w:rsidP="0022020A">
      <w:pPr>
        <w:ind w:left="864"/>
        <w:rPr>
          <w:rFonts w:eastAsia="Arial Unicode MS"/>
        </w:rPr>
      </w:pPr>
    </w:p>
    <w:p w:rsidR="0022020A" w:rsidRDefault="0022020A" w:rsidP="0022020A">
      <w:pPr>
        <w:widowControl w:val="0"/>
        <w:jc w:val="center"/>
        <w:rPr>
          <w:b/>
          <w:szCs w:val="24"/>
        </w:rPr>
      </w:pPr>
      <w:r>
        <w:rPr>
          <w:b/>
          <w:sz w:val="28"/>
          <w:szCs w:val="28"/>
        </w:rPr>
        <w:t>Td/</w:t>
      </w:r>
      <w:proofErr w:type="spellStart"/>
      <w:r>
        <w:rPr>
          <w:b/>
          <w:sz w:val="28"/>
          <w:szCs w:val="28"/>
        </w:rPr>
        <w:t>Tdap</w:t>
      </w:r>
      <w:proofErr w:type="spellEnd"/>
      <w:r>
        <w:rPr>
          <w:b/>
          <w:sz w:val="28"/>
          <w:szCs w:val="28"/>
        </w:rPr>
        <w:t xml:space="preserve"> - Adults with a Complete Primary Vaccination Series with </w:t>
      </w:r>
      <w:r>
        <w:rPr>
          <w:b/>
          <w:sz w:val="28"/>
          <w:szCs w:val="28"/>
        </w:rPr>
        <w:br/>
        <w:t xml:space="preserve">Tetanus- and Diphtheria-toxoid Containing Vaccines </w:t>
      </w:r>
      <w:r>
        <w:rPr>
          <w:b/>
          <w:sz w:val="28"/>
          <w:szCs w:val="28"/>
        </w:rPr>
        <w:br/>
        <w:t>(Additional Information)</w:t>
      </w:r>
    </w:p>
    <w:p w:rsidR="0022020A" w:rsidRDefault="0022020A" w:rsidP="0022020A">
      <w:pPr>
        <w:widowControl w:val="0"/>
        <w:rPr>
          <w:b/>
        </w:rPr>
      </w:pPr>
    </w:p>
    <w:p w:rsidR="0022020A" w:rsidRDefault="0022020A" w:rsidP="0022020A">
      <w:pPr>
        <w:widowControl w:val="0"/>
      </w:pPr>
      <w:r>
        <w:rPr>
          <w:b/>
        </w:rPr>
        <w:t>Health-care personnel</w:t>
      </w:r>
      <w:r>
        <w:t xml:space="preserve">:  Health-care personnel in hospitals or ambulatory care settings who have direct patient contact should receive a single dose of </w:t>
      </w:r>
      <w:proofErr w:type="spellStart"/>
      <w:r>
        <w:t>Tdap</w:t>
      </w:r>
      <w:proofErr w:type="spellEnd"/>
      <w:r>
        <w:t xml:space="preserve"> as soon as feasible if they have not previously received </w:t>
      </w:r>
      <w:proofErr w:type="spellStart"/>
      <w:r>
        <w:t>Tdap</w:t>
      </w:r>
      <w:proofErr w:type="spellEnd"/>
      <w:r>
        <w:t xml:space="preserve">.  </w:t>
      </w:r>
      <w:proofErr w:type="spellStart"/>
      <w:r>
        <w:rPr>
          <w:rFonts w:eastAsia="Arial Unicode MS"/>
        </w:rPr>
        <w:t>Tdap</w:t>
      </w:r>
      <w:proofErr w:type="spellEnd"/>
      <w:r>
        <w:rPr>
          <w:rFonts w:eastAsia="Arial Unicode MS"/>
        </w:rPr>
        <w:t xml:space="preserve"> </w:t>
      </w:r>
      <w:proofErr w:type="gramStart"/>
      <w:r>
        <w:rPr>
          <w:rFonts w:eastAsia="Arial Unicode MS"/>
        </w:rPr>
        <w:t>can be administered</w:t>
      </w:r>
      <w:proofErr w:type="gramEnd"/>
      <w:r>
        <w:rPr>
          <w:rFonts w:eastAsia="Arial Unicode MS"/>
        </w:rPr>
        <w:t xml:space="preserve"> regardless of the interval since the last tetanus or diphtheria toxoid containing vaccine.  Pregnant health care personnel need to get repeat doses during each pregnancy, preferably early in the 27 through 36 weeks gestation period, regardless of number of years since prior Td or </w:t>
      </w:r>
      <w:proofErr w:type="spellStart"/>
      <w:r>
        <w:rPr>
          <w:rFonts w:eastAsia="Arial Unicode MS"/>
        </w:rPr>
        <w:t>Tdap</w:t>
      </w:r>
      <w:proofErr w:type="spellEnd"/>
      <w:r>
        <w:rPr>
          <w:rFonts w:eastAsia="Arial Unicode MS"/>
        </w:rPr>
        <w:t xml:space="preserve">.  All healthcare personnel should then receive Td boosters every 10 years thereafter.  </w:t>
      </w:r>
    </w:p>
    <w:p w:rsidR="0022020A" w:rsidRDefault="0022020A" w:rsidP="0022020A">
      <w:pPr>
        <w:widowControl w:val="0"/>
      </w:pPr>
    </w:p>
    <w:p w:rsidR="0022020A" w:rsidRDefault="0022020A" w:rsidP="0022020A">
      <w:pPr>
        <w:widowControl w:val="0"/>
      </w:pPr>
      <w:r>
        <w:rPr>
          <w:b/>
        </w:rPr>
        <w:t>Pregnant Women</w:t>
      </w:r>
      <w:r>
        <w:t xml:space="preserve">: </w:t>
      </w:r>
    </w:p>
    <w:p w:rsidR="0022020A" w:rsidRDefault="0022020A" w:rsidP="0022020A">
      <w:pPr>
        <w:pStyle w:val="ListParagraph"/>
        <w:widowControl w:val="0"/>
        <w:numPr>
          <w:ilvl w:val="0"/>
          <w:numId w:val="6"/>
        </w:numPr>
      </w:pPr>
      <w:r>
        <w:rPr>
          <w:b/>
        </w:rPr>
        <w:t>Pregnant women and pertussis vaccination</w:t>
      </w:r>
      <w:r>
        <w:t xml:space="preserve">.  </w:t>
      </w:r>
      <w:r>
        <w:rPr>
          <w:i/>
        </w:rPr>
        <w:t xml:space="preserve">Administer one dose of </w:t>
      </w:r>
      <w:proofErr w:type="spellStart"/>
      <w:r>
        <w:rPr>
          <w:i/>
        </w:rPr>
        <w:t>Tdap</w:t>
      </w:r>
      <w:proofErr w:type="spellEnd"/>
      <w:r>
        <w:rPr>
          <w:i/>
        </w:rPr>
        <w:t xml:space="preserve"> vaccine during each pregnancy for adolescents aged 11 through 18 years and for adults aged 19 years and older, regardless of the interval since prior </w:t>
      </w:r>
      <w:proofErr w:type="spellStart"/>
      <w:r>
        <w:rPr>
          <w:i/>
        </w:rPr>
        <w:t>Tdap</w:t>
      </w:r>
      <w:proofErr w:type="spellEnd"/>
      <w:r>
        <w:rPr>
          <w:i/>
        </w:rPr>
        <w:t xml:space="preserve"> or Td vaccination.</w:t>
      </w:r>
      <w:r>
        <w:t xml:space="preserve">  </w:t>
      </w:r>
      <w:proofErr w:type="spellStart"/>
      <w:r>
        <w:t>Tdap</w:t>
      </w:r>
      <w:proofErr w:type="spellEnd"/>
      <w:r>
        <w:t xml:space="preserve"> should preferably be administered early in the 27 through </w:t>
      </w:r>
      <w:proofErr w:type="gramStart"/>
      <w:r>
        <w:t>36 week</w:t>
      </w:r>
      <w:proofErr w:type="gramEnd"/>
      <w:r>
        <w:t xml:space="preserve"> gestation period (to maximize passive antibody transfer to the infant).  </w:t>
      </w:r>
    </w:p>
    <w:p w:rsidR="0022020A" w:rsidRDefault="0022020A" w:rsidP="0022020A">
      <w:pPr>
        <w:widowControl w:val="0"/>
        <w:numPr>
          <w:ilvl w:val="0"/>
          <w:numId w:val="7"/>
        </w:numPr>
      </w:pPr>
      <w:r>
        <w:rPr>
          <w:b/>
        </w:rPr>
        <w:t xml:space="preserve">Routine post-partum </w:t>
      </w:r>
      <w:proofErr w:type="spellStart"/>
      <w:r>
        <w:rPr>
          <w:b/>
        </w:rPr>
        <w:t>Tdap</w:t>
      </w:r>
      <w:proofErr w:type="spellEnd"/>
      <w:r>
        <w:rPr>
          <w:b/>
        </w:rPr>
        <w:t>:</w:t>
      </w:r>
      <w:r>
        <w:t xml:space="preserve"> Pregnant women who previously have not received a dose of </w:t>
      </w:r>
      <w:proofErr w:type="spellStart"/>
      <w:r>
        <w:t>Tdap</w:t>
      </w:r>
      <w:proofErr w:type="spellEnd"/>
      <w:r>
        <w:t xml:space="preserve"> (including women who are breastfeeding) should receive </w:t>
      </w:r>
      <w:proofErr w:type="spellStart"/>
      <w:r>
        <w:t>Tdap</w:t>
      </w:r>
      <w:proofErr w:type="spellEnd"/>
      <w:r>
        <w:t xml:space="preserve"> immediately after delivery.  If </w:t>
      </w:r>
      <w:proofErr w:type="spellStart"/>
      <w:r>
        <w:t>Tdap</w:t>
      </w:r>
      <w:proofErr w:type="spellEnd"/>
      <w:r>
        <w:t xml:space="preserve"> </w:t>
      </w:r>
      <w:proofErr w:type="gramStart"/>
      <w:r>
        <w:t>cannot be administered</w:t>
      </w:r>
      <w:proofErr w:type="gramEnd"/>
      <w:r>
        <w:t xml:space="preserve"> immediately after delivery, it should be given before discharge from the hospital or birthing center.  If </w:t>
      </w:r>
      <w:proofErr w:type="spellStart"/>
      <w:r>
        <w:t>Tdap</w:t>
      </w:r>
      <w:proofErr w:type="spellEnd"/>
      <w:r>
        <w:t xml:space="preserve"> </w:t>
      </w:r>
      <w:proofErr w:type="gramStart"/>
      <w:r>
        <w:t>cannot be administered</w:t>
      </w:r>
      <w:proofErr w:type="gramEnd"/>
      <w:r>
        <w:t xml:space="preserve"> before discharge, it should be given as soon as feasible.  The dose of </w:t>
      </w:r>
      <w:proofErr w:type="spellStart"/>
      <w:r>
        <w:t>Tdap</w:t>
      </w:r>
      <w:proofErr w:type="spellEnd"/>
      <w:r>
        <w:t xml:space="preserve"> replaces the next decennial dose of Td.</w:t>
      </w:r>
    </w:p>
    <w:p w:rsidR="0022020A" w:rsidRDefault="0022020A" w:rsidP="0022020A">
      <w:pPr>
        <w:widowControl w:val="0"/>
        <w:numPr>
          <w:ilvl w:val="0"/>
          <w:numId w:val="7"/>
        </w:numPr>
      </w:pPr>
      <w:r>
        <w:rPr>
          <w:b/>
        </w:rPr>
        <w:t>Pregnant women due for a tetanus booster:</w:t>
      </w:r>
      <w:r>
        <w:t xml:space="preserve">  A </w:t>
      </w:r>
      <w:proofErr w:type="spellStart"/>
      <w:r>
        <w:t>Tdap</w:t>
      </w:r>
      <w:proofErr w:type="spellEnd"/>
      <w:r>
        <w:t xml:space="preserve"> booster vaccination is indicated during each pregnancy and should be administered early in the 27 through </w:t>
      </w:r>
      <w:proofErr w:type="gramStart"/>
      <w:r>
        <w:t>36 week</w:t>
      </w:r>
      <w:proofErr w:type="gramEnd"/>
      <w:r>
        <w:t xml:space="preserve"> gestation period (to maximize passive antibody transfer to the infant).</w:t>
      </w:r>
    </w:p>
    <w:p w:rsidR="0022020A" w:rsidRDefault="0022020A" w:rsidP="0022020A">
      <w:pPr>
        <w:widowControl w:val="0"/>
        <w:numPr>
          <w:ilvl w:val="0"/>
          <w:numId w:val="7"/>
        </w:numPr>
      </w:pPr>
      <w:r>
        <w:rPr>
          <w:b/>
        </w:rPr>
        <w:t>Wound management for pregnant women:</w:t>
      </w:r>
      <w:r>
        <w:t xml:space="preserve">  As part of standard wound management care to prevent tetanus, a tetanus toxoid-containing vaccine </w:t>
      </w:r>
      <w:proofErr w:type="gramStart"/>
      <w:r>
        <w:t>might be recommended</w:t>
      </w:r>
      <w:proofErr w:type="gramEnd"/>
      <w:r>
        <w:t xml:space="preserve"> for wound management in a pregnant woman if 5 years or more have elapsed since last receiving Td.  If a Td booster </w:t>
      </w:r>
      <w:proofErr w:type="gramStart"/>
      <w:r>
        <w:t>is indicated</w:t>
      </w:r>
      <w:proofErr w:type="gramEnd"/>
      <w:r>
        <w:t xml:space="preserve"> for a pregnant woman, </w:t>
      </w:r>
      <w:proofErr w:type="spellStart"/>
      <w:r>
        <w:t>Tdap</w:t>
      </w:r>
      <w:proofErr w:type="spellEnd"/>
      <w:r>
        <w:t xml:space="preserve"> should be administered.</w:t>
      </w:r>
    </w:p>
    <w:p w:rsidR="0022020A" w:rsidRDefault="0022020A" w:rsidP="0022020A">
      <w:pPr>
        <w:widowControl w:val="0"/>
        <w:numPr>
          <w:ilvl w:val="0"/>
          <w:numId w:val="7"/>
        </w:numPr>
        <w:rPr>
          <w:b/>
        </w:rPr>
      </w:pPr>
      <w:r>
        <w:rPr>
          <w:b/>
        </w:rPr>
        <w:t xml:space="preserve">Pregnant women with unknown or incomplete tetanus vaccination:  </w:t>
      </w:r>
      <w:r>
        <w:t xml:space="preserve">Administer three vaccinations containing tetanus and reduced diphtheria toxoids at </w:t>
      </w:r>
      <w:proofErr w:type="gramStart"/>
      <w:r>
        <w:t>0</w:t>
      </w:r>
      <w:proofErr w:type="gramEnd"/>
      <w:r>
        <w:t xml:space="preserve">, 4 weeks, and 6 through 12 months.  </w:t>
      </w:r>
      <w:proofErr w:type="spellStart"/>
      <w:r>
        <w:t>Tdap</w:t>
      </w:r>
      <w:proofErr w:type="spellEnd"/>
      <w:r>
        <w:t xml:space="preserve"> should replace one dose of Td, preferably early in the 27 through 36 week gestation period (to maximize passive antibody transfer to the infant).</w:t>
      </w:r>
    </w:p>
    <w:p w:rsidR="0022020A" w:rsidRDefault="0022020A" w:rsidP="0022020A">
      <w:pPr>
        <w:widowControl w:val="0"/>
        <w:ind w:left="720"/>
        <w:rPr>
          <w:b/>
          <w:sz w:val="18"/>
          <w:szCs w:val="18"/>
        </w:rPr>
      </w:pPr>
    </w:p>
    <w:p w:rsidR="0022020A" w:rsidRDefault="0022020A" w:rsidP="0022020A">
      <w:pPr>
        <w:widowControl w:val="0"/>
        <w:spacing w:before="60"/>
      </w:pPr>
      <w:r>
        <w:rPr>
          <w:b/>
        </w:rPr>
        <w:lastRenderedPageBreak/>
        <w:t>Simultaneous administration</w:t>
      </w:r>
      <w:r>
        <w:t xml:space="preserve">:  </w:t>
      </w:r>
      <w:proofErr w:type="spellStart"/>
      <w:r>
        <w:t>Tdap</w:t>
      </w:r>
      <w:proofErr w:type="spellEnd"/>
      <w:r>
        <w:t xml:space="preserve"> </w:t>
      </w:r>
      <w:proofErr w:type="gramStart"/>
      <w:r>
        <w:t>can be administered</w:t>
      </w:r>
      <w:proofErr w:type="gramEnd"/>
      <w:r>
        <w:t xml:space="preserve"> with other vaccines that are indicated.  Each vaccine </w:t>
      </w:r>
      <w:proofErr w:type="gramStart"/>
      <w:r>
        <w:t>should be administered</w:t>
      </w:r>
      <w:proofErr w:type="gramEnd"/>
      <w:r>
        <w:t xml:space="preserve"> using a separate syringe at a different anatomic site.</w:t>
      </w:r>
    </w:p>
    <w:p w:rsidR="0022020A" w:rsidRDefault="0022020A" w:rsidP="0022020A">
      <w:pPr>
        <w:widowControl w:val="0"/>
      </w:pPr>
    </w:p>
    <w:p w:rsidR="0022020A" w:rsidRDefault="0022020A" w:rsidP="0022020A">
      <w:pPr>
        <w:keepNext/>
        <w:keepLines/>
        <w:rPr>
          <w:rFonts w:eastAsia="Arial Unicode MS"/>
          <w:b/>
        </w:rPr>
      </w:pPr>
      <w:r>
        <w:rPr>
          <w:rFonts w:eastAsia="Arial Unicode MS"/>
          <w:b/>
        </w:rPr>
        <w:t xml:space="preserve">Preventing Spread of Pertussis to Infants by Vaccinating Their Adult Contacts:  </w:t>
      </w:r>
    </w:p>
    <w:p w:rsidR="0022020A" w:rsidRDefault="0022020A" w:rsidP="0022020A">
      <w:pPr>
        <w:keepNext/>
        <w:keepLines/>
        <w:rPr>
          <w:rFonts w:eastAsia="Arial Unicode MS"/>
        </w:rPr>
      </w:pPr>
      <w:r>
        <w:rPr>
          <w:rFonts w:eastAsia="Arial Unicode MS"/>
        </w:rPr>
        <w:t xml:space="preserve">Administer a single dose of </w:t>
      </w:r>
      <w:proofErr w:type="spellStart"/>
      <w:r>
        <w:rPr>
          <w:rFonts w:eastAsia="Arial Unicode MS"/>
        </w:rPr>
        <w:t>Tdap</w:t>
      </w:r>
      <w:proofErr w:type="spellEnd"/>
      <w:r>
        <w:rPr>
          <w:rFonts w:eastAsia="Arial Unicode MS"/>
        </w:rPr>
        <w:t xml:space="preserve"> vaccine to adult household contacts and caregivers of infants aged less than 12 months (e.g., parents, grandparents, adult household members, childcare providers, health care personnel, etc.).  </w:t>
      </w:r>
      <w:proofErr w:type="spellStart"/>
      <w:r>
        <w:rPr>
          <w:rFonts w:eastAsia="Arial Unicode MS"/>
        </w:rPr>
        <w:t>Tdap</w:t>
      </w:r>
      <w:proofErr w:type="spellEnd"/>
      <w:r>
        <w:rPr>
          <w:rFonts w:eastAsia="Arial Unicode MS"/>
        </w:rPr>
        <w:t xml:space="preserve"> </w:t>
      </w:r>
      <w:proofErr w:type="gramStart"/>
      <w:r>
        <w:rPr>
          <w:rFonts w:eastAsia="Arial Unicode MS"/>
        </w:rPr>
        <w:t>can be administered</w:t>
      </w:r>
      <w:proofErr w:type="gramEnd"/>
      <w:r>
        <w:rPr>
          <w:rFonts w:eastAsia="Arial Unicode MS"/>
        </w:rPr>
        <w:t xml:space="preserve"> regardless of the interval since the last tetanus or diphtheria toxoid containing vaccine.</w:t>
      </w:r>
    </w:p>
    <w:p w:rsidR="0022020A" w:rsidRDefault="0022020A" w:rsidP="0022020A">
      <w:pPr>
        <w:widowControl w:val="0"/>
        <w:rPr>
          <w:rFonts w:eastAsia="Arial Unicode MS"/>
        </w:rPr>
      </w:pPr>
    </w:p>
    <w:p w:rsidR="0022020A" w:rsidRDefault="0022020A" w:rsidP="0022020A">
      <w:pPr>
        <w:widowControl w:val="0"/>
        <w:rPr>
          <w:rFonts w:eastAsia="Arial Unicode MS"/>
        </w:rPr>
      </w:pPr>
      <w:r>
        <w:rPr>
          <w:rFonts w:eastAsia="Arial Unicode MS"/>
          <w:b/>
        </w:rPr>
        <w:t xml:space="preserve">During Pertussis Outbreaks:  </w:t>
      </w:r>
      <w:r>
        <w:rPr>
          <w:rFonts w:eastAsia="Arial Unicode MS"/>
        </w:rPr>
        <w:t xml:space="preserve">Administer a single dose of </w:t>
      </w:r>
      <w:proofErr w:type="spellStart"/>
      <w:r>
        <w:rPr>
          <w:rFonts w:eastAsia="Arial Unicode MS"/>
        </w:rPr>
        <w:t>Tdap</w:t>
      </w:r>
      <w:proofErr w:type="spellEnd"/>
      <w:r>
        <w:rPr>
          <w:rFonts w:eastAsia="Arial Unicode MS"/>
        </w:rPr>
        <w:t xml:space="preserve"> vaccine to persons 19 years of age and older who have never received </w:t>
      </w:r>
      <w:proofErr w:type="spellStart"/>
      <w:r>
        <w:rPr>
          <w:rFonts w:eastAsia="Arial Unicode MS"/>
        </w:rPr>
        <w:t>Tdap</w:t>
      </w:r>
      <w:proofErr w:type="spellEnd"/>
      <w:r>
        <w:rPr>
          <w:rFonts w:eastAsia="Arial Unicode MS"/>
        </w:rPr>
        <w:t xml:space="preserve"> vaccine.  </w:t>
      </w:r>
      <w:proofErr w:type="spellStart"/>
      <w:r>
        <w:rPr>
          <w:rFonts w:eastAsia="Arial Unicode MS"/>
        </w:rPr>
        <w:t>Tdap</w:t>
      </w:r>
      <w:proofErr w:type="spellEnd"/>
      <w:r>
        <w:rPr>
          <w:rFonts w:eastAsia="Arial Unicode MS"/>
        </w:rPr>
        <w:t xml:space="preserve"> </w:t>
      </w:r>
      <w:proofErr w:type="gramStart"/>
      <w:r>
        <w:rPr>
          <w:rFonts w:eastAsia="Arial Unicode MS"/>
        </w:rPr>
        <w:t>can be administered</w:t>
      </w:r>
      <w:proofErr w:type="gramEnd"/>
      <w:r>
        <w:rPr>
          <w:rFonts w:eastAsia="Arial Unicode MS"/>
        </w:rPr>
        <w:t xml:space="preserve"> regardless of the interval since the last tetanus or diphtheria toxoid containing vaccine.</w:t>
      </w:r>
    </w:p>
    <w:p w:rsidR="0022020A" w:rsidRDefault="0022020A" w:rsidP="0022020A">
      <w:pPr>
        <w:widowControl w:val="0"/>
        <w:rPr>
          <w:b/>
        </w:rPr>
      </w:pPr>
    </w:p>
    <w:p w:rsidR="0022020A" w:rsidRDefault="0022020A" w:rsidP="0022020A">
      <w:pPr>
        <w:rPr>
          <w:b/>
        </w:rPr>
      </w:pPr>
    </w:p>
    <w:p w:rsidR="0022020A" w:rsidRDefault="0022020A" w:rsidP="0022020A">
      <w:pPr>
        <w:widowControl w:val="0"/>
        <w:jc w:val="center"/>
        <w:rPr>
          <w:b/>
          <w:sz w:val="28"/>
          <w:szCs w:val="28"/>
        </w:rPr>
      </w:pPr>
      <w:r>
        <w:rPr>
          <w:b/>
          <w:sz w:val="28"/>
          <w:szCs w:val="28"/>
        </w:rPr>
        <w:t xml:space="preserve">Wound Management and Tetanus-containing Vaccines </w:t>
      </w:r>
      <w:r>
        <w:rPr>
          <w:b/>
          <w:sz w:val="28"/>
          <w:szCs w:val="28"/>
        </w:rPr>
        <w:br/>
        <w:t xml:space="preserve">(Ages 7 years and older)  </w:t>
      </w:r>
    </w:p>
    <w:p w:rsidR="0022020A" w:rsidRDefault="0022020A" w:rsidP="0022020A">
      <w:pPr>
        <w:widowControl w:val="0"/>
        <w:rPr>
          <w:b/>
          <w:szCs w:val="24"/>
        </w:rPr>
      </w:pPr>
      <w:r>
        <w:rPr>
          <w:b/>
        </w:rPr>
        <w:br/>
      </w:r>
      <w:r>
        <w:rPr>
          <w:b/>
          <w:szCs w:val="24"/>
        </w:rPr>
        <w:t xml:space="preserve">Antibiotic prophylaxis against tetanus is neither practical nor useful in managing wounds; proper immunization plays the more important role.  </w:t>
      </w:r>
      <w:r>
        <w:rPr>
          <w:b/>
          <w:szCs w:val="24"/>
        </w:rPr>
        <w:br/>
      </w:r>
    </w:p>
    <w:p w:rsidR="0022020A" w:rsidRDefault="0022020A" w:rsidP="0022020A">
      <w:pPr>
        <w:widowControl w:val="0"/>
        <w:numPr>
          <w:ilvl w:val="0"/>
          <w:numId w:val="8"/>
        </w:numPr>
        <w:tabs>
          <w:tab w:val="num" w:pos="360"/>
        </w:tabs>
        <w:spacing w:after="60"/>
        <w:ind w:left="360"/>
        <w:rPr>
          <w:rFonts w:ascii="Times New Roman Bold"/>
          <w:b/>
          <w:szCs w:val="24"/>
        </w:rPr>
      </w:pPr>
      <w:r>
        <w:rPr>
          <w:rFonts w:ascii="Times New Roman Bold"/>
          <w:b/>
          <w:szCs w:val="24"/>
        </w:rPr>
        <w:t>Clean Minor Wounds:</w:t>
      </w:r>
    </w:p>
    <w:p w:rsidR="0022020A" w:rsidRDefault="0022020A" w:rsidP="0022020A">
      <w:pPr>
        <w:widowControl w:val="0"/>
        <w:numPr>
          <w:ilvl w:val="0"/>
          <w:numId w:val="9"/>
        </w:numPr>
        <w:rPr>
          <w:szCs w:val="24"/>
        </w:rPr>
      </w:pPr>
      <w:r>
        <w:rPr>
          <w:b/>
          <w:szCs w:val="24"/>
        </w:rPr>
        <w:t>Immunization history is unknown or less than 3 doses of a tetanus-containing vaccine</w:t>
      </w:r>
      <w:r>
        <w:rPr>
          <w:szCs w:val="24"/>
        </w:rPr>
        <w:t xml:space="preserve">  </w:t>
      </w:r>
    </w:p>
    <w:p w:rsidR="0022020A" w:rsidRDefault="0022020A" w:rsidP="0022020A">
      <w:pPr>
        <w:widowControl w:val="0"/>
        <w:numPr>
          <w:ilvl w:val="1"/>
          <w:numId w:val="10"/>
        </w:numPr>
        <w:spacing w:before="60" w:after="60"/>
        <w:rPr>
          <w:b/>
          <w:szCs w:val="24"/>
        </w:rPr>
      </w:pPr>
      <w:r>
        <w:rPr>
          <w:b/>
          <w:szCs w:val="24"/>
        </w:rPr>
        <w:t>Children and adolescents, 7 through 18 years of age</w:t>
      </w:r>
    </w:p>
    <w:p w:rsidR="0022020A" w:rsidRDefault="0022020A" w:rsidP="0022020A">
      <w:pPr>
        <w:widowControl w:val="0"/>
        <w:numPr>
          <w:ilvl w:val="2"/>
          <w:numId w:val="10"/>
        </w:numPr>
      </w:pPr>
      <w:r>
        <w:t xml:space="preserve">Administer </w:t>
      </w:r>
      <w:proofErr w:type="spellStart"/>
      <w:r>
        <w:t>Tdap</w:t>
      </w:r>
      <w:proofErr w:type="spellEnd"/>
      <w:r>
        <w:t xml:space="preserve"> (one time dose, preferably the first dose in the catch-up series).  If additional doses </w:t>
      </w:r>
      <w:proofErr w:type="gramStart"/>
      <w:r>
        <w:t>are needed</w:t>
      </w:r>
      <w:proofErr w:type="gramEnd"/>
      <w:r>
        <w:t>, use Td vaccine as recommended in the catch-up immunization schedule.  Schedule follow-up visits to complete the primary immunization series for tetanus containing vaccines</w:t>
      </w:r>
    </w:p>
    <w:p w:rsidR="0022020A" w:rsidRDefault="0022020A" w:rsidP="0022020A">
      <w:pPr>
        <w:widowControl w:val="0"/>
        <w:numPr>
          <w:ilvl w:val="2"/>
          <w:numId w:val="10"/>
        </w:numPr>
      </w:pPr>
      <w:r>
        <w:t xml:space="preserve">For children 7 through 10 years who receive a dose of </w:t>
      </w:r>
      <w:proofErr w:type="spellStart"/>
      <w:r>
        <w:t>Tdap</w:t>
      </w:r>
      <w:proofErr w:type="spellEnd"/>
      <w:r>
        <w:t xml:space="preserve"> as a part of the catch-up series, an adolescent </w:t>
      </w:r>
      <w:proofErr w:type="spellStart"/>
      <w:r>
        <w:t>Tdap</w:t>
      </w:r>
      <w:proofErr w:type="spellEnd"/>
      <w:r>
        <w:t xml:space="preserve"> vaccine dose at age 11 through 12 years </w:t>
      </w:r>
      <w:proofErr w:type="gramStart"/>
      <w:r>
        <w:t>may be administered</w:t>
      </w:r>
      <w:proofErr w:type="gramEnd"/>
      <w:r>
        <w:t xml:space="preserve">.  Td vaccine </w:t>
      </w:r>
      <w:proofErr w:type="gramStart"/>
      <w:r>
        <w:t>should be administered</w:t>
      </w:r>
      <w:proofErr w:type="gramEnd"/>
      <w:r>
        <w:t xml:space="preserve"> instead 10 years after the </w:t>
      </w:r>
      <w:proofErr w:type="spellStart"/>
      <w:r>
        <w:t>Tdap</w:t>
      </w:r>
      <w:proofErr w:type="spellEnd"/>
      <w:r>
        <w:t xml:space="preserve"> dose.  </w:t>
      </w:r>
    </w:p>
    <w:p w:rsidR="0022020A" w:rsidRDefault="0022020A" w:rsidP="0022020A">
      <w:pPr>
        <w:widowControl w:val="0"/>
        <w:numPr>
          <w:ilvl w:val="1"/>
          <w:numId w:val="10"/>
        </w:numPr>
        <w:spacing w:before="60" w:after="60"/>
        <w:rPr>
          <w:b/>
          <w:szCs w:val="24"/>
        </w:rPr>
      </w:pPr>
      <w:r>
        <w:rPr>
          <w:b/>
          <w:szCs w:val="24"/>
        </w:rPr>
        <w:t>Adults, 19 years of age and older</w:t>
      </w:r>
    </w:p>
    <w:p w:rsidR="0022020A" w:rsidRDefault="0022020A" w:rsidP="0022020A">
      <w:pPr>
        <w:widowControl w:val="0"/>
        <w:numPr>
          <w:ilvl w:val="2"/>
          <w:numId w:val="10"/>
        </w:numPr>
        <w:rPr>
          <w:szCs w:val="24"/>
        </w:rPr>
      </w:pPr>
      <w:r>
        <w:rPr>
          <w:szCs w:val="24"/>
        </w:rPr>
        <w:t xml:space="preserve">Administer </w:t>
      </w:r>
      <w:proofErr w:type="spellStart"/>
      <w:r>
        <w:rPr>
          <w:szCs w:val="24"/>
        </w:rPr>
        <w:t>Tdap</w:t>
      </w:r>
      <w:proofErr w:type="spellEnd"/>
      <w:r>
        <w:rPr>
          <w:szCs w:val="24"/>
        </w:rPr>
        <w:t xml:space="preserve"> (one time dose) or Td.  Schedule follow-up visits to complete the primary immunization series for tetanus containing vaccines.</w:t>
      </w:r>
    </w:p>
    <w:p w:rsidR="0022020A" w:rsidRDefault="0022020A" w:rsidP="0022020A">
      <w:pPr>
        <w:widowControl w:val="0"/>
        <w:rPr>
          <w:b/>
          <w:szCs w:val="24"/>
        </w:rPr>
      </w:pPr>
    </w:p>
    <w:p w:rsidR="0022020A" w:rsidRDefault="0022020A" w:rsidP="0022020A">
      <w:pPr>
        <w:pStyle w:val="ListParagraph"/>
        <w:widowControl w:val="0"/>
        <w:numPr>
          <w:ilvl w:val="0"/>
          <w:numId w:val="10"/>
        </w:numPr>
        <w:spacing w:after="60"/>
      </w:pPr>
      <w:r>
        <w:rPr>
          <w:b/>
        </w:rPr>
        <w:t>Immunization history is known for a complete primary series</w:t>
      </w:r>
      <w:r>
        <w:t xml:space="preserve"> (i.e. three or more doses of </w:t>
      </w:r>
      <w:proofErr w:type="spellStart"/>
      <w:r>
        <w:t>DTaP</w:t>
      </w:r>
      <w:proofErr w:type="spellEnd"/>
      <w:r>
        <w:t xml:space="preserve">, DT, </w:t>
      </w:r>
      <w:proofErr w:type="spellStart"/>
      <w:r>
        <w:t>Tdap</w:t>
      </w:r>
      <w:proofErr w:type="spellEnd"/>
      <w:r>
        <w:t xml:space="preserve">, or Td):  </w:t>
      </w:r>
    </w:p>
    <w:p w:rsidR="0022020A" w:rsidRDefault="0022020A" w:rsidP="0022020A">
      <w:pPr>
        <w:pStyle w:val="ListParagraph"/>
        <w:widowControl w:val="0"/>
        <w:numPr>
          <w:ilvl w:val="1"/>
          <w:numId w:val="10"/>
        </w:numPr>
        <w:spacing w:after="60"/>
      </w:pPr>
      <w:r>
        <w:t xml:space="preserve">No tetanus-containing vaccine dose </w:t>
      </w:r>
      <w:proofErr w:type="gramStart"/>
      <w:r>
        <w:t>is needed</w:t>
      </w:r>
      <w:proofErr w:type="gramEnd"/>
      <w:r>
        <w:t xml:space="preserve"> if it has been less than 10 years since the last tetanus-containing vaccine dose.</w:t>
      </w:r>
    </w:p>
    <w:p w:rsidR="0022020A" w:rsidRPr="00FF6006" w:rsidRDefault="0022020A" w:rsidP="00A5573D">
      <w:pPr>
        <w:pStyle w:val="ListParagraph"/>
        <w:widowControl w:val="0"/>
        <w:numPr>
          <w:ilvl w:val="0"/>
          <w:numId w:val="10"/>
        </w:numPr>
        <w:tabs>
          <w:tab w:val="clear" w:pos="720"/>
        </w:tabs>
        <w:ind w:left="360"/>
      </w:pPr>
      <w:r>
        <w:t xml:space="preserve">Administer </w:t>
      </w:r>
      <w:proofErr w:type="spellStart"/>
      <w:r>
        <w:t>Tdap</w:t>
      </w:r>
      <w:proofErr w:type="spellEnd"/>
      <w:r>
        <w:t xml:space="preserve"> (one time dose) or Td if it has been 10 or more years since the last tetanus-containing vaccine dose.  </w:t>
      </w:r>
      <w:proofErr w:type="spellStart"/>
      <w:r>
        <w:t>Tdap</w:t>
      </w:r>
      <w:proofErr w:type="spellEnd"/>
      <w:r>
        <w:t xml:space="preserve"> is preferred for those persons who have not received </w:t>
      </w:r>
      <w:proofErr w:type="spellStart"/>
      <w:r>
        <w:t>Tdap</w:t>
      </w:r>
      <w:proofErr w:type="spellEnd"/>
      <w:r>
        <w:t xml:space="preserve"> previously.  Administer Td to those individuals who have previously received </w:t>
      </w:r>
      <w:proofErr w:type="spellStart"/>
      <w:r>
        <w:t>Tdap</w:t>
      </w:r>
      <w:proofErr w:type="spellEnd"/>
      <w:r>
        <w:t xml:space="preserve">.  </w:t>
      </w:r>
      <w:r>
        <w:br/>
      </w:r>
      <w:bookmarkStart w:id="0" w:name="_GoBack"/>
      <w:bookmarkEnd w:id="0"/>
      <w:r>
        <w:br w:type="page"/>
      </w:r>
      <w:r w:rsidRPr="00DD06F1">
        <w:rPr>
          <w:b/>
          <w:szCs w:val="24"/>
        </w:rPr>
        <w:lastRenderedPageBreak/>
        <w:t xml:space="preserve">All Other Wounds </w:t>
      </w:r>
      <w:r w:rsidRPr="00DD06F1">
        <w:rPr>
          <w:szCs w:val="24"/>
        </w:rPr>
        <w:t>(Such as, but not limited to, wounds contaminated with dirt, feces, soil, and saliva; puncture wounds e.g. stepping on a tack or a rusty nail; avulsions; and wounds resulting from missiles, crushing, burns,   and frostbite)</w:t>
      </w:r>
      <w:r w:rsidRPr="00DD06F1">
        <w:rPr>
          <w:b/>
          <w:szCs w:val="24"/>
        </w:rPr>
        <w:t xml:space="preserve">.  Patients whose wounds require extensive cleaning because of dirt or need surgical debridement because of devitalized tissue or foreign material </w:t>
      </w:r>
      <w:proofErr w:type="gramStart"/>
      <w:r w:rsidRPr="00DD06F1">
        <w:rPr>
          <w:b/>
          <w:szCs w:val="24"/>
        </w:rPr>
        <w:t>should be referred</w:t>
      </w:r>
      <w:proofErr w:type="gramEnd"/>
      <w:r w:rsidRPr="00DD06F1">
        <w:rPr>
          <w:b/>
          <w:szCs w:val="24"/>
        </w:rPr>
        <w:t xml:space="preserve"> to the nearest emergency room.</w:t>
      </w:r>
    </w:p>
    <w:p w:rsidR="0022020A" w:rsidRDefault="0022020A" w:rsidP="0022020A">
      <w:pPr>
        <w:widowControl w:val="0"/>
        <w:numPr>
          <w:ilvl w:val="0"/>
          <w:numId w:val="11"/>
        </w:numPr>
        <w:spacing w:before="60" w:after="60"/>
        <w:rPr>
          <w:szCs w:val="24"/>
        </w:rPr>
      </w:pPr>
      <w:r>
        <w:rPr>
          <w:b/>
          <w:szCs w:val="24"/>
        </w:rPr>
        <w:t xml:space="preserve">Immunization history is unknown or less than </w:t>
      </w:r>
      <w:proofErr w:type="gramStart"/>
      <w:r>
        <w:rPr>
          <w:b/>
          <w:szCs w:val="24"/>
        </w:rPr>
        <w:t>3</w:t>
      </w:r>
      <w:proofErr w:type="gramEnd"/>
      <w:r>
        <w:rPr>
          <w:b/>
          <w:szCs w:val="24"/>
        </w:rPr>
        <w:t xml:space="preserve"> doses of a tetanus-containing vaccine</w:t>
      </w:r>
      <w:r>
        <w:rPr>
          <w:szCs w:val="24"/>
        </w:rPr>
        <w:t xml:space="preserve"> - </w:t>
      </w:r>
      <w:r>
        <w:t>REFER PATIENT TO THE NEAREST EMERGENCY ROOM OR THEIR PRIVATE PHYSICIAN, as these patients need both a tetanus-containing vaccine and Tetanus Immune Globulin (TIG) administered by the same provider.</w:t>
      </w:r>
    </w:p>
    <w:p w:rsidR="0022020A" w:rsidRDefault="0022020A" w:rsidP="0022020A">
      <w:pPr>
        <w:keepNext/>
        <w:keepLines/>
        <w:numPr>
          <w:ilvl w:val="0"/>
          <w:numId w:val="12"/>
        </w:numPr>
        <w:spacing w:before="60" w:after="60"/>
        <w:rPr>
          <w:b/>
        </w:rPr>
      </w:pPr>
      <w:r>
        <w:rPr>
          <w:b/>
        </w:rPr>
        <w:t>Immunization history is known for a complete primary series</w:t>
      </w:r>
      <w:r>
        <w:t xml:space="preserve"> (i.e., three or more doses of </w:t>
      </w:r>
      <w:proofErr w:type="spellStart"/>
      <w:r>
        <w:t>DTaP</w:t>
      </w:r>
      <w:proofErr w:type="spellEnd"/>
      <w:r>
        <w:t xml:space="preserve">, DT, </w:t>
      </w:r>
      <w:proofErr w:type="spellStart"/>
      <w:r>
        <w:t>Tdap</w:t>
      </w:r>
      <w:proofErr w:type="spellEnd"/>
      <w:r>
        <w:t>, or Td):</w:t>
      </w:r>
    </w:p>
    <w:p w:rsidR="0022020A" w:rsidRDefault="0022020A" w:rsidP="0022020A">
      <w:pPr>
        <w:pStyle w:val="ListParagraph"/>
        <w:widowControl w:val="0"/>
        <w:numPr>
          <w:ilvl w:val="1"/>
          <w:numId w:val="10"/>
        </w:numPr>
        <w:spacing w:after="60"/>
      </w:pPr>
      <w:r>
        <w:t xml:space="preserve">No tetanus-containing vaccine dose </w:t>
      </w:r>
      <w:proofErr w:type="gramStart"/>
      <w:r>
        <w:t>is needed</w:t>
      </w:r>
      <w:proofErr w:type="gramEnd"/>
      <w:r>
        <w:t xml:space="preserve"> if it has been less than 5 years since the last tetanus-containing vaccine dose.</w:t>
      </w:r>
    </w:p>
    <w:p w:rsidR="0022020A" w:rsidRDefault="0022020A" w:rsidP="0022020A">
      <w:pPr>
        <w:pStyle w:val="ListParagraph"/>
        <w:widowControl w:val="0"/>
        <w:numPr>
          <w:ilvl w:val="1"/>
          <w:numId w:val="10"/>
        </w:numPr>
        <w:spacing w:after="60"/>
      </w:pPr>
      <w:r>
        <w:t xml:space="preserve">Administer </w:t>
      </w:r>
      <w:proofErr w:type="spellStart"/>
      <w:r>
        <w:t>Tdap</w:t>
      </w:r>
      <w:proofErr w:type="spellEnd"/>
      <w:r>
        <w:t xml:space="preserve"> (one time dose) or Td if it has been </w:t>
      </w:r>
      <w:proofErr w:type="gramStart"/>
      <w:r>
        <w:t>5</w:t>
      </w:r>
      <w:proofErr w:type="gramEnd"/>
      <w:r>
        <w:t xml:space="preserve"> or more years since the last tetanus containing vaccine dose.  </w:t>
      </w:r>
      <w:proofErr w:type="spellStart"/>
      <w:r>
        <w:t>Tdap</w:t>
      </w:r>
      <w:proofErr w:type="spellEnd"/>
      <w:r>
        <w:t xml:space="preserve"> is preferred for those persons who have not received </w:t>
      </w:r>
      <w:proofErr w:type="spellStart"/>
      <w:r>
        <w:t>Tdap</w:t>
      </w:r>
      <w:proofErr w:type="spellEnd"/>
      <w:r>
        <w:t xml:space="preserve"> previously.  Administer Td to those individuals who have previously received </w:t>
      </w:r>
      <w:proofErr w:type="spellStart"/>
      <w:r>
        <w:t>Tdap</w:t>
      </w:r>
      <w:proofErr w:type="spellEnd"/>
      <w:r>
        <w:t xml:space="preserve">.  </w:t>
      </w:r>
    </w:p>
    <w:p w:rsidR="0022020A" w:rsidRDefault="0022020A" w:rsidP="0022020A">
      <w:pPr>
        <w:keepNext/>
        <w:keepLines/>
        <w:numPr>
          <w:ilvl w:val="0"/>
          <w:numId w:val="12"/>
        </w:numPr>
        <w:spacing w:before="60" w:after="60"/>
        <w:rPr>
          <w:rFonts w:ascii="Times New Roman Bold"/>
          <w:b/>
          <w:szCs w:val="24"/>
          <w:u w:val="single"/>
        </w:rPr>
      </w:pPr>
      <w:r>
        <w:rPr>
          <w:szCs w:val="24"/>
        </w:rPr>
        <w:t xml:space="preserve">*ACIP Recommendations for </w:t>
      </w:r>
      <w:proofErr w:type="spellStart"/>
      <w:r>
        <w:rPr>
          <w:szCs w:val="24"/>
        </w:rPr>
        <w:t>Tdap</w:t>
      </w:r>
      <w:proofErr w:type="spellEnd"/>
      <w:r>
        <w:rPr>
          <w:szCs w:val="24"/>
        </w:rPr>
        <w:t xml:space="preserve"> administration of children 7 to 9 years of age differ from the package insert.  </w:t>
      </w:r>
      <w:hyperlink r:id="rId11" w:history="1">
        <w:r>
          <w:rPr>
            <w:rStyle w:val="Hyperlink"/>
            <w:szCs w:val="24"/>
          </w:rPr>
          <w:t>http://www.cdc.gov/mmwr/preview/mmwrhtml/mm6001a4.htm</w:t>
        </w:r>
      </w:hyperlink>
    </w:p>
    <w:p w:rsidR="0022020A" w:rsidRDefault="0022020A" w:rsidP="0022020A">
      <w:pPr>
        <w:pStyle w:val="ListParagraph"/>
        <w:widowControl w:val="0"/>
        <w:spacing w:before="120"/>
        <w:rPr>
          <w:rFonts w:ascii="Times New Roman Bold"/>
          <w:b/>
          <w:szCs w:val="24"/>
          <w:u w:val="single"/>
        </w:rPr>
      </w:pPr>
    </w:p>
    <w:p w:rsidR="0022020A" w:rsidRDefault="0022020A" w:rsidP="0022020A">
      <w:pPr>
        <w:widowControl w:val="0"/>
        <w:spacing w:before="120"/>
        <w:rPr>
          <w:rFonts w:ascii="Times New Roman Bold"/>
          <w:b/>
          <w:szCs w:val="24"/>
          <w:u w:val="single"/>
        </w:rPr>
      </w:pPr>
      <w:r>
        <w:rPr>
          <w:rFonts w:ascii="Times New Roman Bold"/>
          <w:b/>
          <w:szCs w:val="24"/>
          <w:u w:val="single"/>
        </w:rPr>
        <w:t>Dosage and Route</w:t>
      </w:r>
    </w:p>
    <w:p w:rsidR="0022020A" w:rsidRDefault="0022020A" w:rsidP="0022020A">
      <w:pPr>
        <w:autoSpaceDE w:val="0"/>
        <w:autoSpaceDN w:val="0"/>
        <w:adjustRightInd w:val="0"/>
        <w:spacing w:after="120"/>
      </w:pPr>
      <w:r>
        <w:rPr>
          <w:b/>
        </w:rPr>
        <w:t>Shake vial well before withdrawing each dose</w:t>
      </w:r>
      <w:r>
        <w:t xml:space="preserve">.  Discard vial of vaccine if it </w:t>
      </w:r>
      <w:proofErr w:type="gramStart"/>
      <w:r>
        <w:t xml:space="preserve">cannot be </w:t>
      </w:r>
      <w:proofErr w:type="spellStart"/>
      <w:r>
        <w:t>resuspended</w:t>
      </w:r>
      <w:proofErr w:type="spellEnd"/>
      <w:proofErr w:type="gramEnd"/>
      <w:r>
        <w:t>.</w:t>
      </w:r>
    </w:p>
    <w:p w:rsidR="0022020A" w:rsidRDefault="0022020A" w:rsidP="0022020A">
      <w:pPr>
        <w:autoSpaceDE w:val="0"/>
        <w:autoSpaceDN w:val="0"/>
        <w:adjustRightInd w:val="0"/>
        <w:spacing w:after="120"/>
      </w:pPr>
      <w:r>
        <w:t xml:space="preserve">Give Td / </w:t>
      </w:r>
      <w:proofErr w:type="spellStart"/>
      <w:r>
        <w:t>Tdap</w:t>
      </w:r>
      <w:proofErr w:type="spellEnd"/>
      <w:r>
        <w:t xml:space="preserve"> vaccine 0.5 mL intramuscularly (IM). </w:t>
      </w:r>
    </w:p>
    <w:p w:rsidR="0022020A" w:rsidRDefault="0022020A" w:rsidP="0022020A">
      <w:pPr>
        <w:widowControl w:val="0"/>
        <w:spacing w:before="120"/>
      </w:pPr>
      <w:r>
        <w:t>Shake the vial well to distribute the suspension uniformly before withdraw</w:t>
      </w:r>
      <w:r>
        <w:rPr>
          <w:b/>
        </w:rPr>
        <w:t>i</w:t>
      </w:r>
      <w:r>
        <w:t>ng for administration.  (Do not use if resuspension does not occur with vigorous shaking.)</w:t>
      </w:r>
    </w:p>
    <w:p w:rsidR="0022020A" w:rsidRDefault="0022020A" w:rsidP="0022020A">
      <w:pPr>
        <w:widowControl w:val="0"/>
        <w:spacing w:before="120"/>
        <w:jc w:val="center"/>
      </w:pPr>
      <w:r>
        <w:rPr>
          <w:b/>
        </w:rPr>
        <w:t>Always check the package insert prior to administration of any vaccine</w:t>
      </w:r>
      <w:r>
        <w:t>.</w:t>
      </w:r>
    </w:p>
    <w:p w:rsidR="0022020A" w:rsidRDefault="0022020A" w:rsidP="0022020A">
      <w:pPr>
        <w:widowControl w:val="0"/>
        <w:spacing w:before="120"/>
        <w:rPr>
          <w:b/>
          <w:u w:val="single"/>
        </w:rPr>
      </w:pPr>
    </w:p>
    <w:p w:rsidR="0022020A" w:rsidRDefault="0022020A" w:rsidP="0022020A">
      <w:pPr>
        <w:autoSpaceDE w:val="0"/>
        <w:autoSpaceDN w:val="0"/>
        <w:adjustRightInd w:val="0"/>
        <w:spacing w:after="120"/>
        <w:rPr>
          <w:rFonts w:ascii="Times New Roman Bold"/>
          <w:b/>
          <w:szCs w:val="24"/>
          <w:u w:val="single"/>
        </w:rPr>
      </w:pPr>
      <w:r>
        <w:rPr>
          <w:rFonts w:ascii="Times New Roman Bold"/>
          <w:b/>
          <w:szCs w:val="24"/>
          <w:u w:val="single"/>
        </w:rPr>
        <w:t xml:space="preserve">Anatomical Site </w:t>
      </w:r>
    </w:p>
    <w:p w:rsidR="0022020A" w:rsidRDefault="0022020A" w:rsidP="0022020A">
      <w:pPr>
        <w:autoSpaceDE w:val="0"/>
        <w:autoSpaceDN w:val="0"/>
        <w:adjustRightInd w:val="0"/>
      </w:pPr>
      <w:r>
        <w:t xml:space="preserve">The preferred site is into the deltoid muscle.  The vaccine </w:t>
      </w:r>
      <w:proofErr w:type="gramStart"/>
      <w:r>
        <w:t>should not be injected</w:t>
      </w:r>
      <w:proofErr w:type="gramEnd"/>
      <w:r>
        <w:t xml:space="preserve"> into the gluteal area or areas where there is a major nerve trunk.  </w:t>
      </w:r>
    </w:p>
    <w:p w:rsidR="0022020A" w:rsidRDefault="0022020A" w:rsidP="0022020A">
      <w:pPr>
        <w:autoSpaceDE w:val="0"/>
        <w:autoSpaceDN w:val="0"/>
        <w:adjustRightInd w:val="0"/>
        <w:rPr>
          <w:b/>
          <w:u w:val="single"/>
        </w:rPr>
      </w:pPr>
    </w:p>
    <w:p w:rsidR="0022020A" w:rsidRDefault="0022020A" w:rsidP="0022020A">
      <w:pPr>
        <w:autoSpaceDE w:val="0"/>
        <w:autoSpaceDN w:val="0"/>
        <w:adjustRightInd w:val="0"/>
        <w:spacing w:after="120"/>
        <w:rPr>
          <w:rFonts w:ascii="Times New Roman Bold"/>
          <w:b/>
          <w:szCs w:val="24"/>
          <w:u w:val="single"/>
        </w:rPr>
      </w:pPr>
      <w:r>
        <w:rPr>
          <w:rFonts w:ascii="Times New Roman Bold"/>
          <w:b/>
          <w:szCs w:val="24"/>
          <w:u w:val="single"/>
        </w:rPr>
        <w:t>Precautions</w:t>
      </w:r>
    </w:p>
    <w:p w:rsidR="0022020A" w:rsidRDefault="0022020A" w:rsidP="0022020A">
      <w:pPr>
        <w:numPr>
          <w:ilvl w:val="0"/>
          <w:numId w:val="7"/>
        </w:numPr>
        <w:tabs>
          <w:tab w:val="num" w:pos="120"/>
        </w:tabs>
        <w:autoSpaceDE w:val="0"/>
        <w:autoSpaceDN w:val="0"/>
        <w:adjustRightInd w:val="0"/>
        <w:spacing w:before="60" w:after="60"/>
        <w:rPr>
          <w:szCs w:val="18"/>
        </w:rPr>
      </w:pPr>
      <w:r>
        <w:rPr>
          <w:szCs w:val="18"/>
        </w:rPr>
        <w:t xml:space="preserve">Patient’s current health status and medical history </w:t>
      </w:r>
      <w:proofErr w:type="gramStart"/>
      <w:r>
        <w:rPr>
          <w:szCs w:val="18"/>
        </w:rPr>
        <w:t>should be reviewed</w:t>
      </w:r>
      <w:proofErr w:type="gramEnd"/>
      <w:r>
        <w:rPr>
          <w:szCs w:val="18"/>
        </w:rPr>
        <w:t xml:space="preserve"> in order to determine whether any contraindications exist and to assess the benefits and risks of vaccination. </w:t>
      </w:r>
    </w:p>
    <w:p w:rsidR="0022020A" w:rsidRDefault="0022020A" w:rsidP="0022020A">
      <w:pPr>
        <w:numPr>
          <w:ilvl w:val="0"/>
          <w:numId w:val="7"/>
        </w:numPr>
        <w:tabs>
          <w:tab w:val="num" w:pos="120"/>
        </w:tabs>
        <w:autoSpaceDE w:val="0"/>
        <w:autoSpaceDN w:val="0"/>
        <w:adjustRightInd w:val="0"/>
        <w:spacing w:before="60" w:after="60"/>
        <w:rPr>
          <w:szCs w:val="18"/>
        </w:rPr>
      </w:pPr>
      <w:r>
        <w:rPr>
          <w:szCs w:val="18"/>
        </w:rPr>
        <w:t xml:space="preserve">If Td or </w:t>
      </w:r>
      <w:proofErr w:type="spellStart"/>
      <w:r>
        <w:rPr>
          <w:szCs w:val="18"/>
        </w:rPr>
        <w:t>Tdap</w:t>
      </w:r>
      <w:proofErr w:type="spellEnd"/>
      <w:r>
        <w:rPr>
          <w:szCs w:val="18"/>
        </w:rPr>
        <w:t xml:space="preserve"> vaccine </w:t>
      </w:r>
      <w:proofErr w:type="gramStart"/>
      <w:r>
        <w:rPr>
          <w:szCs w:val="18"/>
        </w:rPr>
        <w:t>is administered</w:t>
      </w:r>
      <w:proofErr w:type="gramEnd"/>
      <w:r>
        <w:rPr>
          <w:szCs w:val="18"/>
        </w:rPr>
        <w:t xml:space="preserve"> to immunocompromised persons, including persons receiving immunosuppressive therapy, the expected immune response may not be obtained.</w:t>
      </w:r>
      <w:r>
        <w:rPr>
          <w:szCs w:val="18"/>
        </w:rPr>
        <w:br/>
      </w:r>
      <w:r>
        <w:rPr>
          <w:szCs w:val="18"/>
        </w:rPr>
        <w:br/>
      </w:r>
    </w:p>
    <w:p w:rsidR="0022020A" w:rsidRDefault="0022020A" w:rsidP="0022020A">
      <w:pPr>
        <w:spacing w:after="200" w:line="276" w:lineRule="auto"/>
        <w:rPr>
          <w:rFonts w:ascii="Times New Roman Bold"/>
          <w:b/>
          <w:szCs w:val="24"/>
          <w:u w:val="single"/>
        </w:rPr>
      </w:pPr>
      <w:r>
        <w:rPr>
          <w:rFonts w:ascii="Times New Roman Bold"/>
          <w:b/>
          <w:szCs w:val="24"/>
          <w:u w:val="single"/>
        </w:rPr>
        <w:lastRenderedPageBreak/>
        <w:t>Contraindications</w:t>
      </w:r>
    </w:p>
    <w:p w:rsidR="0022020A" w:rsidRDefault="0022020A" w:rsidP="0022020A">
      <w:pPr>
        <w:autoSpaceDE w:val="0"/>
        <w:autoSpaceDN w:val="0"/>
        <w:adjustRightInd w:val="0"/>
      </w:pPr>
      <w:r>
        <w:t>Individuals with:</w:t>
      </w:r>
    </w:p>
    <w:p w:rsidR="0022020A" w:rsidRDefault="0022020A" w:rsidP="0022020A">
      <w:pPr>
        <w:numPr>
          <w:ilvl w:val="0"/>
          <w:numId w:val="13"/>
        </w:numPr>
        <w:autoSpaceDE w:val="0"/>
        <w:autoSpaceDN w:val="0"/>
        <w:adjustRightInd w:val="0"/>
        <w:spacing w:before="60" w:after="60"/>
      </w:pPr>
      <w:r>
        <w:t xml:space="preserve">Anaphylactic reaction to previous dose of Td, </w:t>
      </w:r>
      <w:proofErr w:type="spellStart"/>
      <w:r>
        <w:t>Tdap</w:t>
      </w:r>
      <w:proofErr w:type="spellEnd"/>
      <w:r>
        <w:t xml:space="preserve">, any other tetanus-toxoid, </w:t>
      </w:r>
      <w:r>
        <w:br/>
        <w:t xml:space="preserve">diphtheria-toxoid or pertussis containing vaccine, to latex, or to any other component of the vaccine (see package insert for specific components).  </w:t>
      </w:r>
    </w:p>
    <w:p w:rsidR="0022020A" w:rsidRDefault="0022020A" w:rsidP="0022020A">
      <w:pPr>
        <w:numPr>
          <w:ilvl w:val="0"/>
          <w:numId w:val="13"/>
        </w:numPr>
        <w:autoSpaceDE w:val="0"/>
        <w:autoSpaceDN w:val="0"/>
        <w:adjustRightInd w:val="0"/>
        <w:spacing w:before="60" w:after="60"/>
      </w:pPr>
      <w:r>
        <w:t xml:space="preserve">Encephalopathy (e.g., coma, decreased level of consciousness, prolonged seizures) not due to another identifiable cause within 7 days of previous dose of DTP or </w:t>
      </w:r>
      <w:proofErr w:type="spellStart"/>
      <w:r>
        <w:t>DTaP</w:t>
      </w:r>
      <w:proofErr w:type="spellEnd"/>
      <w:r>
        <w:t>.</w:t>
      </w:r>
    </w:p>
    <w:p w:rsidR="0022020A" w:rsidRDefault="0022020A" w:rsidP="0022020A">
      <w:pPr>
        <w:autoSpaceDE w:val="0"/>
        <w:autoSpaceDN w:val="0"/>
        <w:adjustRightInd w:val="0"/>
        <w:rPr>
          <w:b/>
          <w:u w:val="single"/>
        </w:rPr>
      </w:pPr>
    </w:p>
    <w:p w:rsidR="0022020A" w:rsidRDefault="0022020A" w:rsidP="0022020A">
      <w:pPr>
        <w:autoSpaceDE w:val="0"/>
        <w:autoSpaceDN w:val="0"/>
        <w:adjustRightInd w:val="0"/>
        <w:rPr>
          <w:b/>
          <w:u w:val="single"/>
        </w:rPr>
      </w:pPr>
      <w:r>
        <w:rPr>
          <w:rFonts w:ascii="Times New Roman Bold"/>
          <w:b/>
          <w:szCs w:val="24"/>
          <w:u w:val="single"/>
        </w:rPr>
        <w:t>Adverse Events</w:t>
      </w:r>
      <w:r>
        <w:rPr>
          <w:b/>
          <w:u w:val="single"/>
        </w:rPr>
        <w:t xml:space="preserve"> </w:t>
      </w:r>
      <w:r>
        <w:t>– See the product’s package insert</w:t>
      </w:r>
    </w:p>
    <w:p w:rsidR="0022020A" w:rsidRDefault="0022020A" w:rsidP="0022020A">
      <w:pPr>
        <w:autoSpaceDE w:val="0"/>
        <w:autoSpaceDN w:val="0"/>
        <w:adjustRightInd w:val="0"/>
        <w:spacing w:after="120"/>
        <w:rPr>
          <w:rFonts w:ascii="Times New Roman Bold"/>
          <w:b/>
          <w:szCs w:val="24"/>
          <w:u w:val="single"/>
        </w:rPr>
      </w:pPr>
      <w:r>
        <w:rPr>
          <w:rFonts w:ascii="Times New Roman Bold"/>
          <w:b/>
          <w:szCs w:val="24"/>
          <w:u w:val="single"/>
        </w:rPr>
        <w:t>Storage and Handling</w:t>
      </w:r>
    </w:p>
    <w:p w:rsidR="0022020A" w:rsidRDefault="0022020A" w:rsidP="0022020A">
      <w:pPr>
        <w:numPr>
          <w:ilvl w:val="0"/>
          <w:numId w:val="1"/>
        </w:numPr>
        <w:autoSpaceDE w:val="0"/>
        <w:autoSpaceDN w:val="0"/>
        <w:adjustRightInd w:val="0"/>
        <w:rPr>
          <w:b/>
          <w:u w:val="single"/>
        </w:rPr>
      </w:pPr>
      <w:r>
        <w:t>Store in refrigerator at 36</w:t>
      </w:r>
      <w:r>
        <w:rPr>
          <w:vertAlign w:val="superscript"/>
        </w:rPr>
        <w:t>o</w:t>
      </w:r>
      <w:r>
        <w:t>F – 46</w:t>
      </w:r>
      <w:r>
        <w:rPr>
          <w:vertAlign w:val="superscript"/>
        </w:rPr>
        <w:t>o</w:t>
      </w:r>
      <w:r>
        <w:t>F (2</w:t>
      </w:r>
      <w:r>
        <w:rPr>
          <w:vertAlign w:val="superscript"/>
        </w:rPr>
        <w:t>o</w:t>
      </w:r>
      <w:r>
        <w:t>C – 8</w:t>
      </w:r>
      <w:r>
        <w:rPr>
          <w:vertAlign w:val="superscript"/>
        </w:rPr>
        <w:t>o</w:t>
      </w:r>
      <w:r>
        <w:t>C)</w:t>
      </w:r>
    </w:p>
    <w:p w:rsidR="0022020A" w:rsidRDefault="0022020A" w:rsidP="0022020A">
      <w:pPr>
        <w:numPr>
          <w:ilvl w:val="0"/>
          <w:numId w:val="1"/>
        </w:numPr>
        <w:autoSpaceDE w:val="0"/>
        <w:autoSpaceDN w:val="0"/>
        <w:adjustRightInd w:val="0"/>
      </w:pPr>
      <w:r>
        <w:t xml:space="preserve">DO NOT FREEZE; discard if product </w:t>
      </w:r>
      <w:proofErr w:type="gramStart"/>
      <w:r>
        <w:t>has been frozen</w:t>
      </w:r>
      <w:proofErr w:type="gramEnd"/>
      <w:r>
        <w:t>.</w:t>
      </w:r>
    </w:p>
    <w:p w:rsidR="0022020A" w:rsidRDefault="0022020A" w:rsidP="0022020A">
      <w:pPr>
        <w:autoSpaceDE w:val="0"/>
        <w:autoSpaceDN w:val="0"/>
        <w:adjustRightInd w:val="0"/>
        <w:rPr>
          <w:b/>
          <w:bCs/>
          <w:color w:val="auto"/>
        </w:rPr>
      </w:pPr>
    </w:p>
    <w:p w:rsidR="0022020A" w:rsidRDefault="0022020A" w:rsidP="0022020A">
      <w:pPr>
        <w:autoSpaceDE w:val="0"/>
        <w:autoSpaceDN w:val="0"/>
        <w:adjustRightInd w:val="0"/>
        <w:rPr>
          <w:b/>
          <w:bCs/>
          <w:color w:val="auto"/>
        </w:rPr>
      </w:pPr>
      <w:r>
        <w:rPr>
          <w:b/>
          <w:bCs/>
          <w:color w:val="auto"/>
        </w:rPr>
        <w:t>Notes:</w:t>
      </w:r>
    </w:p>
    <w:p w:rsidR="0022020A" w:rsidRDefault="0022020A" w:rsidP="0022020A">
      <w:pPr>
        <w:autoSpaceDE w:val="0"/>
        <w:autoSpaceDN w:val="0"/>
        <w:adjustRightInd w:val="0"/>
        <w:rPr>
          <w:bCs/>
          <w:color w:val="auto"/>
        </w:rPr>
      </w:pPr>
    </w:p>
    <w:p w:rsidR="0022020A" w:rsidRDefault="0022020A" w:rsidP="0022020A">
      <w:pPr>
        <w:autoSpaceDE w:val="0"/>
        <w:autoSpaceDN w:val="0"/>
        <w:adjustRightInd w:val="0"/>
      </w:pPr>
      <w:r>
        <w:rPr>
          <w:bCs/>
          <w:color w:val="auto"/>
        </w:rPr>
        <w:t xml:space="preserve">FDA lowered the age of licensure for </w:t>
      </w:r>
      <w:proofErr w:type="spellStart"/>
      <w:r>
        <w:rPr>
          <w:bCs/>
          <w:color w:val="auto"/>
        </w:rPr>
        <w:t>Adacel</w:t>
      </w:r>
      <w:proofErr w:type="spellEnd"/>
      <w:r>
        <w:rPr>
          <w:bCs/>
          <w:color w:val="auto"/>
        </w:rPr>
        <w:t xml:space="preserve"> vaccine administration from age 11 years to 10 years in March 2014,” </w:t>
      </w:r>
      <w:hyperlink r:id="rId12" w:history="1">
        <w:r>
          <w:rPr>
            <w:rStyle w:val="Hyperlink"/>
            <w:bCs/>
          </w:rPr>
          <w:t>http://www.immunize.org/express/issue1114.asp</w:t>
        </w:r>
      </w:hyperlink>
      <w:r>
        <w:rPr>
          <w:bCs/>
          <w:color w:val="auto"/>
        </w:rPr>
        <w:t xml:space="preserve"> and </w:t>
      </w:r>
      <w:hyperlink r:id="rId13" w:history="1">
        <w:r>
          <w:rPr>
            <w:rStyle w:val="Hyperlink"/>
            <w:bCs/>
          </w:rPr>
          <w:t>http://www.fda.gov/BiologicsBloodVaccines/Vaccines/ApprovedProducts/ucm392016.htm</w:t>
        </w:r>
      </w:hyperlink>
      <w:r>
        <w:rPr>
          <w:bCs/>
          <w:color w:val="auto"/>
        </w:rPr>
        <w:t xml:space="preserve">.  </w:t>
      </w:r>
      <w:r>
        <w:rPr>
          <w:bCs/>
          <w:color w:val="auto"/>
        </w:rPr>
        <w:br/>
      </w:r>
      <w:r>
        <w:rPr>
          <w:bCs/>
          <w:color w:val="auto"/>
        </w:rPr>
        <w:br/>
        <w:t xml:space="preserve">The minimum age of 10 years for administration of both </w:t>
      </w:r>
      <w:proofErr w:type="spellStart"/>
      <w:r>
        <w:rPr>
          <w:bCs/>
          <w:color w:val="auto"/>
        </w:rPr>
        <w:t>Adacel</w:t>
      </w:r>
      <w:proofErr w:type="spellEnd"/>
      <w:r>
        <w:rPr>
          <w:bCs/>
          <w:color w:val="auto"/>
        </w:rPr>
        <w:t xml:space="preserve"> and </w:t>
      </w:r>
      <w:r w:rsidRPr="00010FA1">
        <w:rPr>
          <w:bCs/>
          <w:color w:val="auto"/>
        </w:rPr>
        <w:t>BOOSTRIX</w:t>
      </w:r>
      <w:r>
        <w:rPr>
          <w:bCs/>
          <w:color w:val="auto"/>
        </w:rPr>
        <w:t xml:space="preserve"> </w:t>
      </w:r>
      <w:proofErr w:type="gramStart"/>
      <w:r>
        <w:rPr>
          <w:bCs/>
          <w:color w:val="auto"/>
        </w:rPr>
        <w:t>is described</w:t>
      </w:r>
      <w:proofErr w:type="gramEnd"/>
      <w:r>
        <w:rPr>
          <w:bCs/>
          <w:color w:val="auto"/>
        </w:rPr>
        <w:t xml:space="preserve"> in the </w:t>
      </w:r>
      <w:r>
        <w:t xml:space="preserve">“Recommended Immunization Schedule for Children and Adolescents Aged 18 Years or Younger, UNITED STATES, 2017”:  </w:t>
      </w:r>
    </w:p>
    <w:p w:rsidR="0022020A" w:rsidRDefault="005F3E49" w:rsidP="0022020A">
      <w:pPr>
        <w:autoSpaceDE w:val="0"/>
        <w:autoSpaceDN w:val="0"/>
        <w:adjustRightInd w:val="0"/>
        <w:rPr>
          <w:b/>
          <w:bCs/>
          <w:color w:val="auto"/>
        </w:rPr>
      </w:pPr>
      <w:hyperlink r:id="rId14" w:history="1">
        <w:r w:rsidR="0022020A" w:rsidRPr="002F441E">
          <w:rPr>
            <w:rStyle w:val="Hyperlink"/>
          </w:rPr>
          <w:t>https://www.cdc.gov/vaccines/schedules/downloads/child/0-18yrs-child-combined-schedule.pdf</w:t>
        </w:r>
      </w:hyperlink>
    </w:p>
    <w:p w:rsidR="0022020A" w:rsidRDefault="0022020A" w:rsidP="0022020A">
      <w:pPr>
        <w:rPr>
          <w:b/>
          <w:bCs/>
          <w:color w:val="auto"/>
        </w:rPr>
      </w:pPr>
      <w:r>
        <w:rPr>
          <w:b/>
          <w:bCs/>
          <w:color w:val="auto"/>
        </w:rPr>
        <w:br w:type="page"/>
      </w:r>
    </w:p>
    <w:p w:rsidR="0022020A" w:rsidRDefault="0022020A" w:rsidP="0022020A">
      <w:pPr>
        <w:keepNext/>
        <w:keepLines/>
        <w:autoSpaceDE w:val="0"/>
        <w:autoSpaceDN w:val="0"/>
        <w:adjustRightInd w:val="0"/>
        <w:rPr>
          <w:b/>
          <w:bCs/>
          <w:color w:val="auto"/>
        </w:rPr>
      </w:pPr>
      <w:r w:rsidRPr="00370F3C">
        <w:rPr>
          <w:b/>
          <w:bCs/>
          <w:color w:val="auto"/>
          <w:u w:val="single"/>
        </w:rPr>
        <w:lastRenderedPageBreak/>
        <w:t>References</w:t>
      </w:r>
      <w:r>
        <w:rPr>
          <w:b/>
          <w:bCs/>
          <w:color w:val="auto"/>
        </w:rPr>
        <w:t>:</w:t>
      </w:r>
    </w:p>
    <w:p w:rsidR="0022020A" w:rsidRDefault="0022020A" w:rsidP="0022020A">
      <w:pPr>
        <w:keepNext/>
        <w:keepLines/>
        <w:autoSpaceDE w:val="0"/>
        <w:autoSpaceDN w:val="0"/>
        <w:adjustRightInd w:val="0"/>
        <w:rPr>
          <w:b/>
          <w:bCs/>
          <w:color w:val="auto"/>
        </w:rPr>
      </w:pPr>
    </w:p>
    <w:p w:rsidR="0022020A" w:rsidRDefault="0022020A" w:rsidP="0022020A">
      <w:pPr>
        <w:keepNext/>
        <w:keepLines/>
        <w:autoSpaceDE w:val="0"/>
        <w:autoSpaceDN w:val="0"/>
        <w:adjustRightInd w:val="0"/>
        <w:rPr>
          <w:bCs/>
          <w:color w:val="auto"/>
        </w:rPr>
      </w:pPr>
      <w:r w:rsidRPr="00010FA1">
        <w:rPr>
          <w:bCs/>
          <w:color w:val="auto"/>
        </w:rPr>
        <w:t>Immunization Action Coalition (IAC)</w:t>
      </w:r>
      <w:r>
        <w:rPr>
          <w:bCs/>
          <w:color w:val="auto"/>
        </w:rPr>
        <w:t xml:space="preserve">: Needle Tips: ACIP Votes to Update Recommendations for HPV, </w:t>
      </w:r>
      <w:proofErr w:type="spellStart"/>
      <w:r>
        <w:rPr>
          <w:bCs/>
          <w:color w:val="auto"/>
        </w:rPr>
        <w:t>Tdap</w:t>
      </w:r>
      <w:proofErr w:type="spellEnd"/>
      <w:r>
        <w:rPr>
          <w:bCs/>
          <w:color w:val="auto"/>
        </w:rPr>
        <w:t xml:space="preserve">, </w:t>
      </w:r>
      <w:proofErr w:type="spellStart"/>
      <w:r>
        <w:rPr>
          <w:bCs/>
          <w:color w:val="auto"/>
        </w:rPr>
        <w:t>MenB</w:t>
      </w:r>
      <w:proofErr w:type="spellEnd"/>
      <w:r>
        <w:rPr>
          <w:bCs/>
          <w:color w:val="auto"/>
        </w:rPr>
        <w:t xml:space="preserve"> and </w:t>
      </w:r>
      <w:proofErr w:type="spellStart"/>
      <w:r>
        <w:rPr>
          <w:bCs/>
          <w:color w:val="auto"/>
        </w:rPr>
        <w:t>HepB</w:t>
      </w:r>
      <w:proofErr w:type="spellEnd"/>
      <w:r>
        <w:rPr>
          <w:bCs/>
          <w:color w:val="auto"/>
        </w:rPr>
        <w:t xml:space="preserve"> Vaccines; Volume 26-Number 4; December 2016.</w:t>
      </w:r>
    </w:p>
    <w:p w:rsidR="0022020A" w:rsidRPr="00010FA1" w:rsidRDefault="0022020A" w:rsidP="0022020A">
      <w:pPr>
        <w:keepNext/>
        <w:keepLines/>
        <w:autoSpaceDE w:val="0"/>
        <w:autoSpaceDN w:val="0"/>
        <w:adjustRightInd w:val="0"/>
        <w:rPr>
          <w:bCs/>
          <w:color w:val="auto"/>
        </w:rPr>
      </w:pPr>
    </w:p>
    <w:p w:rsidR="0022020A" w:rsidRDefault="0022020A" w:rsidP="0022020A">
      <w:pPr>
        <w:outlineLvl w:val="0"/>
        <w:rPr>
          <w:rFonts w:eastAsia="Calibri"/>
          <w:color w:val="auto"/>
          <w:szCs w:val="24"/>
        </w:rPr>
      </w:pPr>
      <w:r w:rsidRPr="00FF6006">
        <w:rPr>
          <w:rFonts w:eastAsia="Calibri"/>
          <w:color w:val="auto"/>
          <w:szCs w:val="24"/>
        </w:rPr>
        <w:t xml:space="preserve">MMWR </w:t>
      </w:r>
      <w:r>
        <w:rPr>
          <w:rFonts w:eastAsia="Calibri"/>
          <w:color w:val="auto"/>
          <w:szCs w:val="24"/>
        </w:rPr>
        <w:t>“</w:t>
      </w:r>
      <w:r w:rsidRPr="00010FA1">
        <w:rPr>
          <w:bCs/>
          <w:kern w:val="36"/>
          <w:szCs w:val="24"/>
        </w:rPr>
        <w:t>Updated Recommendations for Use of Tetanus Toxoid, Reduced Diphtheria Toxoid and Acellular Pertussis (</w:t>
      </w:r>
      <w:proofErr w:type="spellStart"/>
      <w:r w:rsidRPr="00010FA1">
        <w:rPr>
          <w:bCs/>
          <w:kern w:val="36"/>
          <w:szCs w:val="24"/>
        </w:rPr>
        <w:t>Tdap</w:t>
      </w:r>
      <w:proofErr w:type="spellEnd"/>
      <w:r w:rsidRPr="00010FA1">
        <w:rPr>
          <w:bCs/>
          <w:kern w:val="36"/>
          <w:szCs w:val="24"/>
        </w:rPr>
        <w:t>) Vaccine from the Advisory Committee on Immunization Practices, 2010</w:t>
      </w:r>
      <w:r>
        <w:rPr>
          <w:bCs/>
          <w:kern w:val="36"/>
          <w:szCs w:val="24"/>
        </w:rPr>
        <w:t xml:space="preserve">.” </w:t>
      </w:r>
      <w:r w:rsidRPr="00FF6006">
        <w:rPr>
          <w:rFonts w:eastAsia="Calibri"/>
          <w:color w:val="auto"/>
          <w:szCs w:val="24"/>
        </w:rPr>
        <w:t>January 14, 2011/60(01); 13-15</w:t>
      </w:r>
    </w:p>
    <w:p w:rsidR="0022020A" w:rsidRPr="00FF6006" w:rsidRDefault="005F3E49" w:rsidP="0022020A">
      <w:pPr>
        <w:rPr>
          <w:rFonts w:eastAsia="Calibri"/>
          <w:color w:val="auto"/>
          <w:szCs w:val="24"/>
        </w:rPr>
      </w:pPr>
      <w:hyperlink r:id="rId15" w:history="1">
        <w:r w:rsidR="0022020A" w:rsidRPr="00FF6006">
          <w:rPr>
            <w:rStyle w:val="Hyperlink"/>
            <w:rFonts w:eastAsia="Calibri"/>
            <w:szCs w:val="24"/>
          </w:rPr>
          <w:t>http://www.cdc.gov/mmwr/preview/mmwrhtml/mm6001a4.htm</w:t>
        </w:r>
      </w:hyperlink>
      <w:r w:rsidR="0022020A" w:rsidRPr="00FF6006">
        <w:rPr>
          <w:rFonts w:eastAsia="Calibri"/>
          <w:color w:val="auto"/>
          <w:szCs w:val="24"/>
        </w:rPr>
        <w:t xml:space="preserve">  </w:t>
      </w:r>
    </w:p>
    <w:p w:rsidR="0022020A" w:rsidRPr="00FF6006" w:rsidRDefault="0022020A" w:rsidP="0022020A">
      <w:pPr>
        <w:rPr>
          <w:rFonts w:eastAsia="Calibri"/>
          <w:color w:val="auto"/>
          <w:szCs w:val="24"/>
        </w:rPr>
      </w:pPr>
    </w:p>
    <w:p w:rsidR="0022020A" w:rsidRDefault="0022020A" w:rsidP="0022020A">
      <w:pPr>
        <w:autoSpaceDE w:val="0"/>
        <w:autoSpaceDN w:val="0"/>
        <w:adjustRightInd w:val="0"/>
      </w:pPr>
      <w:r>
        <w:t xml:space="preserve">“Recommended Immunization Schedule for Children and Adolescents Aged 18 Years or Younger, UNITED STATES, 2017”:  </w:t>
      </w:r>
    </w:p>
    <w:p w:rsidR="0022020A" w:rsidRDefault="005F3E49" w:rsidP="0022020A">
      <w:pPr>
        <w:autoSpaceDE w:val="0"/>
        <w:autoSpaceDN w:val="0"/>
        <w:adjustRightInd w:val="0"/>
        <w:rPr>
          <w:b/>
          <w:bCs/>
          <w:color w:val="auto"/>
        </w:rPr>
      </w:pPr>
      <w:hyperlink r:id="rId16" w:history="1">
        <w:r w:rsidR="0022020A" w:rsidRPr="002F441E">
          <w:rPr>
            <w:rStyle w:val="Hyperlink"/>
          </w:rPr>
          <w:t>https://www.cdc.gov/vaccines/schedules/downloads/child/0-18yrs-child-combined-schedule.pdf</w:t>
        </w:r>
      </w:hyperlink>
    </w:p>
    <w:p w:rsidR="0022020A" w:rsidRPr="00FF6006" w:rsidRDefault="0022020A" w:rsidP="0022020A">
      <w:pPr>
        <w:rPr>
          <w:rFonts w:eastAsia="Calibri"/>
          <w:color w:val="auto"/>
          <w:szCs w:val="24"/>
        </w:rPr>
      </w:pPr>
    </w:p>
    <w:p w:rsidR="0022020A" w:rsidRDefault="0022020A" w:rsidP="0022020A">
      <w:pPr>
        <w:pStyle w:val="CommentText"/>
        <w:spacing w:after="0"/>
        <w:rPr>
          <w:rFonts w:ascii="Times New Roman" w:hAnsi="Times New Roman"/>
          <w:sz w:val="24"/>
          <w:szCs w:val="24"/>
        </w:rPr>
      </w:pPr>
      <w:r w:rsidRPr="00FF6006">
        <w:rPr>
          <w:rFonts w:ascii="Times New Roman" w:hAnsi="Times New Roman"/>
          <w:sz w:val="24"/>
          <w:szCs w:val="24"/>
        </w:rPr>
        <w:t xml:space="preserve">CDC Immunization of Health-Care Personnel:  Recommendations of the ACIP </w:t>
      </w:r>
      <w:r>
        <w:rPr>
          <w:rFonts w:ascii="Times New Roman" w:hAnsi="Times New Roman"/>
          <w:sz w:val="24"/>
          <w:szCs w:val="24"/>
        </w:rPr>
        <w:br/>
      </w:r>
      <w:r w:rsidRPr="00FF6006">
        <w:rPr>
          <w:rFonts w:ascii="Times New Roman" w:hAnsi="Times New Roman"/>
          <w:sz w:val="24"/>
          <w:szCs w:val="24"/>
        </w:rPr>
        <w:t xml:space="preserve">MMWR, 2011; 60(RR-7), </w:t>
      </w:r>
      <w:hyperlink r:id="rId17" w:history="1">
        <w:r w:rsidRPr="00FF6006">
          <w:rPr>
            <w:rStyle w:val="Hyperlink"/>
            <w:rFonts w:ascii="Times New Roman" w:hAnsi="Times New Roman"/>
            <w:sz w:val="24"/>
            <w:szCs w:val="24"/>
          </w:rPr>
          <w:t>http://www.cdc.gov/mmwr/preview/mmwrhtml/rr6007a1.htm</w:t>
        </w:r>
      </w:hyperlink>
      <w:r w:rsidRPr="00FF6006">
        <w:rPr>
          <w:rFonts w:ascii="Times New Roman" w:hAnsi="Times New Roman"/>
          <w:sz w:val="24"/>
          <w:szCs w:val="24"/>
        </w:rPr>
        <w:t xml:space="preserve"> </w:t>
      </w:r>
    </w:p>
    <w:p w:rsidR="0022020A" w:rsidRDefault="0022020A" w:rsidP="0022020A">
      <w:pPr>
        <w:pStyle w:val="CommentText"/>
        <w:spacing w:after="0"/>
        <w:rPr>
          <w:rFonts w:ascii="Times New Roman" w:hAnsi="Times New Roman"/>
          <w:sz w:val="24"/>
          <w:szCs w:val="24"/>
        </w:rPr>
      </w:pPr>
    </w:p>
    <w:p w:rsidR="0022020A" w:rsidRDefault="0022020A" w:rsidP="0022020A">
      <w:r>
        <w:t xml:space="preserve">“Recommended Immunization Schedule for Adults Aged 19 Years or Older, </w:t>
      </w:r>
      <w:r>
        <w:br/>
        <w:t xml:space="preserve">United States, 2017”:  </w:t>
      </w:r>
    </w:p>
    <w:p w:rsidR="0022020A" w:rsidRDefault="005F3E49" w:rsidP="0022020A">
      <w:hyperlink r:id="rId18" w:history="1">
        <w:r w:rsidR="0022020A">
          <w:rPr>
            <w:rStyle w:val="Hyperlink"/>
          </w:rPr>
          <w:t>http://www.cdc.gov/vaccines/schedules/downloads/adult/adult-combined-schedule.pdf</w:t>
        </w:r>
      </w:hyperlink>
      <w:r w:rsidR="0022020A">
        <w:t xml:space="preserve"> </w:t>
      </w:r>
    </w:p>
    <w:p w:rsidR="0022020A" w:rsidRDefault="0022020A" w:rsidP="0022020A">
      <w:pPr>
        <w:pStyle w:val="CommentText"/>
        <w:spacing w:after="0"/>
        <w:rPr>
          <w:rFonts w:ascii="Times New Roman" w:hAnsi="Times New Roman"/>
          <w:sz w:val="24"/>
          <w:szCs w:val="24"/>
        </w:rPr>
      </w:pPr>
      <w:r w:rsidRPr="00FF6006">
        <w:rPr>
          <w:rFonts w:ascii="Times New Roman" w:hAnsi="Times New Roman"/>
          <w:sz w:val="24"/>
          <w:szCs w:val="24"/>
        </w:rPr>
        <w:t xml:space="preserve"> </w:t>
      </w:r>
    </w:p>
    <w:p w:rsidR="0022020A" w:rsidRPr="00FF6006" w:rsidRDefault="0022020A" w:rsidP="0022020A">
      <w:pPr>
        <w:rPr>
          <w:rFonts w:eastAsia="Calibri"/>
          <w:color w:val="auto"/>
          <w:szCs w:val="24"/>
        </w:rPr>
      </w:pPr>
      <w:r w:rsidRPr="00FF6006">
        <w:rPr>
          <w:rFonts w:eastAsia="Calibri"/>
          <w:color w:val="auto"/>
          <w:szCs w:val="24"/>
        </w:rPr>
        <w:t>Package Inserts</w:t>
      </w:r>
    </w:p>
    <w:p w:rsidR="0022020A" w:rsidRDefault="0022020A" w:rsidP="0022020A">
      <w:pPr>
        <w:pStyle w:val="ListParagraph"/>
        <w:numPr>
          <w:ilvl w:val="0"/>
          <w:numId w:val="14"/>
        </w:numPr>
        <w:rPr>
          <w:rFonts w:eastAsia="Calibri"/>
          <w:color w:val="auto"/>
          <w:szCs w:val="24"/>
        </w:rPr>
      </w:pPr>
      <w:proofErr w:type="spellStart"/>
      <w:r w:rsidRPr="00FF6006">
        <w:rPr>
          <w:rFonts w:eastAsia="Calibri"/>
          <w:color w:val="auto"/>
          <w:szCs w:val="24"/>
        </w:rPr>
        <w:t>Tdap</w:t>
      </w:r>
      <w:proofErr w:type="spellEnd"/>
      <w:r w:rsidRPr="00FF6006">
        <w:rPr>
          <w:rFonts w:eastAsia="Calibri"/>
          <w:color w:val="auto"/>
          <w:szCs w:val="24"/>
        </w:rPr>
        <w:t xml:space="preserve"> vaccine:  </w:t>
      </w:r>
      <w:hyperlink r:id="rId19" w:history="1">
        <w:r w:rsidRPr="00FF6006">
          <w:rPr>
            <w:rStyle w:val="Hyperlink"/>
            <w:rFonts w:eastAsia="Calibri"/>
            <w:szCs w:val="24"/>
          </w:rPr>
          <w:t>http://www.immunize.org/packageinserts/pi_tdap.asp</w:t>
        </w:r>
      </w:hyperlink>
    </w:p>
    <w:p w:rsidR="0022020A" w:rsidRPr="00FF6006" w:rsidRDefault="0022020A" w:rsidP="0022020A">
      <w:pPr>
        <w:pStyle w:val="ListParagraph"/>
        <w:numPr>
          <w:ilvl w:val="0"/>
          <w:numId w:val="14"/>
        </w:numPr>
        <w:rPr>
          <w:rFonts w:eastAsia="Calibri"/>
          <w:color w:val="auto"/>
          <w:szCs w:val="24"/>
        </w:rPr>
      </w:pPr>
      <w:r w:rsidRPr="00FF6006">
        <w:rPr>
          <w:rFonts w:eastAsia="Calibri"/>
          <w:color w:val="auto"/>
          <w:szCs w:val="24"/>
        </w:rPr>
        <w:t xml:space="preserve">Td vaccine: </w:t>
      </w:r>
      <w:hyperlink r:id="rId20" w:history="1">
        <w:r w:rsidRPr="00FF6006">
          <w:rPr>
            <w:rStyle w:val="Hyperlink"/>
            <w:rFonts w:eastAsia="Calibri"/>
            <w:szCs w:val="24"/>
          </w:rPr>
          <w:t>http://www.immunize.org/packageinserts/pi_tetanus.asp</w:t>
        </w:r>
      </w:hyperlink>
      <w:r w:rsidRPr="00FF6006">
        <w:rPr>
          <w:rFonts w:eastAsia="Calibri"/>
          <w:color w:val="auto"/>
          <w:szCs w:val="24"/>
        </w:rPr>
        <w:t xml:space="preserve">  </w:t>
      </w:r>
    </w:p>
    <w:p w:rsidR="0022020A" w:rsidRPr="00FF6006" w:rsidRDefault="0022020A" w:rsidP="0022020A">
      <w:pPr>
        <w:pStyle w:val="ListParagraph"/>
        <w:numPr>
          <w:ilvl w:val="0"/>
          <w:numId w:val="14"/>
        </w:numPr>
        <w:autoSpaceDE w:val="0"/>
        <w:autoSpaceDN w:val="0"/>
        <w:adjustRightInd w:val="0"/>
        <w:rPr>
          <w:rFonts w:eastAsia="Calibri"/>
          <w:color w:val="0000FF"/>
          <w:szCs w:val="24"/>
          <w:u w:val="single"/>
        </w:rPr>
      </w:pPr>
      <w:proofErr w:type="spellStart"/>
      <w:r w:rsidRPr="00FF6006">
        <w:rPr>
          <w:rFonts w:eastAsia="Calibri"/>
          <w:color w:val="auto"/>
          <w:szCs w:val="24"/>
        </w:rPr>
        <w:t>Tdap</w:t>
      </w:r>
      <w:proofErr w:type="spellEnd"/>
      <w:r w:rsidRPr="00FF6006">
        <w:rPr>
          <w:rFonts w:eastAsia="Calibri"/>
          <w:color w:val="auto"/>
          <w:szCs w:val="24"/>
        </w:rPr>
        <w:t xml:space="preserve"> vaccine:  </w:t>
      </w:r>
      <w:r w:rsidRPr="00312FEE">
        <w:rPr>
          <w:rFonts w:eastAsia="Calibri"/>
          <w:szCs w:val="24"/>
        </w:rPr>
        <w:t>http://www.immunize.org/packageinserts/pi_tdap.asp</w:t>
      </w:r>
      <w:r w:rsidRPr="00FF6006">
        <w:rPr>
          <w:rFonts w:eastAsia="Calibri"/>
          <w:color w:val="auto"/>
          <w:szCs w:val="24"/>
        </w:rPr>
        <w:t xml:space="preserve"> </w:t>
      </w:r>
    </w:p>
    <w:p w:rsidR="0022020A" w:rsidRDefault="0022020A" w:rsidP="0022020A">
      <w:pPr>
        <w:autoSpaceDE w:val="0"/>
        <w:autoSpaceDN w:val="0"/>
        <w:adjustRightInd w:val="0"/>
        <w:rPr>
          <w:szCs w:val="24"/>
        </w:rPr>
      </w:pPr>
    </w:p>
    <w:p w:rsidR="0022020A" w:rsidRDefault="0022020A" w:rsidP="0022020A">
      <w:pPr>
        <w:autoSpaceDE w:val="0"/>
        <w:autoSpaceDN w:val="0"/>
        <w:adjustRightInd w:val="0"/>
        <w:rPr>
          <w:szCs w:val="24"/>
        </w:rPr>
      </w:pPr>
    </w:p>
    <w:p w:rsidR="0022020A" w:rsidRDefault="0022020A" w:rsidP="0022020A">
      <w:pPr>
        <w:autoSpaceDE w:val="0"/>
        <w:autoSpaceDN w:val="0"/>
        <w:adjustRightInd w:val="0"/>
        <w:rPr>
          <w:szCs w:val="24"/>
        </w:rPr>
      </w:pPr>
    </w:p>
    <w:p w:rsidR="0022020A" w:rsidRDefault="0022020A" w:rsidP="0022020A">
      <w:pPr>
        <w:autoSpaceDE w:val="0"/>
        <w:autoSpaceDN w:val="0"/>
        <w:adjustRightInd w:val="0"/>
        <w:rPr>
          <w:szCs w:val="24"/>
        </w:rPr>
      </w:pPr>
    </w:p>
    <w:p w:rsidR="0022020A" w:rsidRDefault="0022020A" w:rsidP="0022020A">
      <w:pPr>
        <w:autoSpaceDE w:val="0"/>
        <w:autoSpaceDN w:val="0"/>
        <w:adjustRightInd w:val="0"/>
        <w:rPr>
          <w:szCs w:val="24"/>
        </w:rPr>
      </w:pPr>
    </w:p>
    <w:p w:rsidR="0022020A" w:rsidRDefault="0022020A" w:rsidP="0022020A">
      <w:pPr>
        <w:autoSpaceDE w:val="0"/>
        <w:autoSpaceDN w:val="0"/>
        <w:adjustRightInd w:val="0"/>
        <w:rPr>
          <w:szCs w:val="24"/>
        </w:rPr>
      </w:pPr>
    </w:p>
    <w:p w:rsidR="0022020A" w:rsidRDefault="0022020A" w:rsidP="0022020A">
      <w:pPr>
        <w:autoSpaceDE w:val="0"/>
        <w:autoSpaceDN w:val="0"/>
        <w:adjustRightInd w:val="0"/>
        <w:rPr>
          <w:szCs w:val="24"/>
        </w:rPr>
      </w:pPr>
    </w:p>
    <w:p w:rsidR="0022020A" w:rsidRDefault="0022020A" w:rsidP="0022020A">
      <w:pPr>
        <w:autoSpaceDE w:val="0"/>
        <w:autoSpaceDN w:val="0"/>
        <w:adjustRightInd w:val="0"/>
        <w:rPr>
          <w:szCs w:val="24"/>
        </w:rPr>
      </w:pPr>
    </w:p>
    <w:p w:rsidR="0022020A" w:rsidRDefault="0022020A" w:rsidP="0022020A">
      <w:pPr>
        <w:autoSpaceDE w:val="0"/>
        <w:autoSpaceDN w:val="0"/>
        <w:adjustRightInd w:val="0"/>
        <w:rPr>
          <w:szCs w:val="24"/>
        </w:rPr>
      </w:pPr>
    </w:p>
    <w:p w:rsidR="0022020A" w:rsidRDefault="0022020A" w:rsidP="0022020A">
      <w:pPr>
        <w:autoSpaceDE w:val="0"/>
        <w:autoSpaceDN w:val="0"/>
        <w:adjustRightInd w:val="0"/>
        <w:rPr>
          <w:szCs w:val="24"/>
        </w:rPr>
      </w:pPr>
    </w:p>
    <w:p w:rsidR="0022020A" w:rsidRDefault="0022020A" w:rsidP="0022020A">
      <w:pPr>
        <w:autoSpaceDE w:val="0"/>
        <w:autoSpaceDN w:val="0"/>
        <w:adjustRightInd w:val="0"/>
        <w:rPr>
          <w:szCs w:val="24"/>
        </w:rPr>
      </w:pPr>
    </w:p>
    <w:p w:rsidR="0022020A" w:rsidRDefault="0022020A" w:rsidP="0022020A">
      <w:pPr>
        <w:autoSpaceDE w:val="0"/>
        <w:autoSpaceDN w:val="0"/>
        <w:adjustRightInd w:val="0"/>
        <w:rPr>
          <w:szCs w:val="24"/>
        </w:rPr>
      </w:pPr>
    </w:p>
    <w:p w:rsidR="00F25F63" w:rsidRDefault="0022020A" w:rsidP="0022020A">
      <w:r w:rsidRPr="00FF6006">
        <w:rPr>
          <w:szCs w:val="24"/>
        </w:rPr>
        <w:t>Updated:  March 31, 2013</w:t>
      </w:r>
      <w:r>
        <w:rPr>
          <w:szCs w:val="24"/>
        </w:rPr>
        <w:t xml:space="preserve">, </w:t>
      </w:r>
      <w:r w:rsidRPr="00FF6006">
        <w:rPr>
          <w:szCs w:val="24"/>
        </w:rPr>
        <w:t>July 1, 2014</w:t>
      </w:r>
      <w:r>
        <w:rPr>
          <w:szCs w:val="24"/>
        </w:rPr>
        <w:t xml:space="preserve"> and July 1, 2017</w:t>
      </w:r>
    </w:p>
    <w:sectPr w:rsidR="00F25F63">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E49" w:rsidRDefault="005F3E49" w:rsidP="0022020A">
      <w:r>
        <w:separator/>
      </w:r>
    </w:p>
  </w:endnote>
  <w:endnote w:type="continuationSeparator" w:id="0">
    <w:p w:rsidR="005F3E49" w:rsidRDefault="005F3E49" w:rsidP="00220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Zurich BT">
    <w:altName w:val="Zurich B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20A" w:rsidRDefault="0022020A">
    <w:pPr>
      <w:pStyle w:val="Footer"/>
      <w:jc w:val="center"/>
      <w:rPr>
        <w:color w:val="auto"/>
        <w:sz w:val="16"/>
        <w:szCs w:val="16"/>
      </w:rPr>
    </w:pPr>
    <w:r w:rsidRPr="0022020A">
      <w:rPr>
        <w:color w:val="auto"/>
        <w:sz w:val="16"/>
        <w:szCs w:val="16"/>
      </w:rPr>
      <w:t xml:space="preserve">Page </w:t>
    </w:r>
    <w:r w:rsidRPr="0022020A">
      <w:rPr>
        <w:color w:val="auto"/>
        <w:sz w:val="16"/>
        <w:szCs w:val="16"/>
      </w:rPr>
      <w:fldChar w:fldCharType="begin"/>
    </w:r>
    <w:r w:rsidRPr="0022020A">
      <w:rPr>
        <w:color w:val="auto"/>
        <w:sz w:val="16"/>
        <w:szCs w:val="16"/>
      </w:rPr>
      <w:instrText xml:space="preserve"> PAGE  \* Arabic  \* MERGEFORMAT </w:instrText>
    </w:r>
    <w:r w:rsidRPr="0022020A">
      <w:rPr>
        <w:color w:val="auto"/>
        <w:sz w:val="16"/>
        <w:szCs w:val="16"/>
      </w:rPr>
      <w:fldChar w:fldCharType="separate"/>
    </w:r>
    <w:r w:rsidR="00DD06F1">
      <w:rPr>
        <w:noProof/>
        <w:color w:val="auto"/>
        <w:sz w:val="16"/>
        <w:szCs w:val="16"/>
      </w:rPr>
      <w:t>1</w:t>
    </w:r>
    <w:r w:rsidRPr="0022020A">
      <w:rPr>
        <w:color w:val="auto"/>
        <w:sz w:val="16"/>
        <w:szCs w:val="16"/>
      </w:rPr>
      <w:fldChar w:fldCharType="end"/>
    </w:r>
    <w:r w:rsidRPr="0022020A">
      <w:rPr>
        <w:color w:val="auto"/>
        <w:sz w:val="16"/>
        <w:szCs w:val="16"/>
      </w:rPr>
      <w:t xml:space="preserve"> of </w:t>
    </w:r>
    <w:r w:rsidRPr="0022020A">
      <w:rPr>
        <w:color w:val="auto"/>
        <w:sz w:val="16"/>
        <w:szCs w:val="16"/>
      </w:rPr>
      <w:fldChar w:fldCharType="begin"/>
    </w:r>
    <w:r w:rsidRPr="0022020A">
      <w:rPr>
        <w:color w:val="auto"/>
        <w:sz w:val="16"/>
        <w:szCs w:val="16"/>
      </w:rPr>
      <w:instrText xml:space="preserve"> NUMPAGES  \* Arabic  \* MERGEFORMAT </w:instrText>
    </w:r>
    <w:r w:rsidRPr="0022020A">
      <w:rPr>
        <w:color w:val="auto"/>
        <w:sz w:val="16"/>
        <w:szCs w:val="16"/>
      </w:rPr>
      <w:fldChar w:fldCharType="separate"/>
    </w:r>
    <w:r w:rsidR="00DD06F1">
      <w:rPr>
        <w:noProof/>
        <w:color w:val="auto"/>
        <w:sz w:val="16"/>
        <w:szCs w:val="16"/>
      </w:rPr>
      <w:t>9</w:t>
    </w:r>
    <w:r w:rsidRPr="0022020A">
      <w:rPr>
        <w:color w:val="auto"/>
        <w:sz w:val="16"/>
        <w:szCs w:val="16"/>
      </w:rPr>
      <w:fldChar w:fldCharType="end"/>
    </w:r>
  </w:p>
  <w:p w:rsidR="0022020A" w:rsidRDefault="0022020A">
    <w:pPr>
      <w:pStyle w:val="Footer"/>
      <w:jc w:val="center"/>
      <w:rPr>
        <w:color w:val="auto"/>
        <w:sz w:val="16"/>
        <w:szCs w:val="16"/>
      </w:rPr>
    </w:pPr>
    <w:r>
      <w:rPr>
        <w:color w:val="auto"/>
        <w:sz w:val="16"/>
        <w:szCs w:val="16"/>
      </w:rPr>
      <w:t>Core Clinical Service Guide</w:t>
    </w:r>
  </w:p>
  <w:p w:rsidR="0022020A" w:rsidRDefault="0022020A">
    <w:pPr>
      <w:pStyle w:val="Footer"/>
      <w:jc w:val="center"/>
      <w:rPr>
        <w:color w:val="auto"/>
        <w:sz w:val="16"/>
        <w:szCs w:val="16"/>
      </w:rPr>
    </w:pPr>
    <w:r>
      <w:rPr>
        <w:color w:val="auto"/>
        <w:sz w:val="16"/>
        <w:szCs w:val="16"/>
      </w:rPr>
      <w:t xml:space="preserve">Section:  Immunizations – (BB) – </w:t>
    </w:r>
    <w:r w:rsidR="00DD06F1">
      <w:rPr>
        <w:color w:val="auto"/>
        <w:sz w:val="16"/>
        <w:szCs w:val="16"/>
      </w:rPr>
      <w:t>Tetanus, Diphtheria, and Tetanus Diphtheria Acellular Pertussis (Td/</w:t>
    </w:r>
    <w:proofErr w:type="spellStart"/>
    <w:r w:rsidR="00DD06F1">
      <w:rPr>
        <w:color w:val="auto"/>
        <w:sz w:val="16"/>
        <w:szCs w:val="16"/>
      </w:rPr>
      <w:t>TDaP</w:t>
    </w:r>
    <w:proofErr w:type="spellEnd"/>
    <w:r w:rsidR="00DD06F1">
      <w:rPr>
        <w:color w:val="auto"/>
        <w:sz w:val="16"/>
        <w:szCs w:val="16"/>
      </w:rPr>
      <w:t>)</w:t>
    </w:r>
    <w:r>
      <w:rPr>
        <w:color w:val="auto"/>
        <w:sz w:val="16"/>
        <w:szCs w:val="16"/>
      </w:rPr>
      <w:t xml:space="preserve"> </w:t>
    </w:r>
    <w:r w:rsidR="00DD06F1">
      <w:rPr>
        <w:color w:val="auto"/>
        <w:sz w:val="16"/>
        <w:szCs w:val="16"/>
      </w:rPr>
      <w:t>Vaccines</w:t>
    </w:r>
  </w:p>
  <w:p w:rsidR="0022020A" w:rsidRPr="0022020A" w:rsidRDefault="0022020A">
    <w:pPr>
      <w:pStyle w:val="Footer"/>
      <w:jc w:val="center"/>
      <w:rPr>
        <w:color w:val="auto"/>
        <w:sz w:val="16"/>
        <w:szCs w:val="16"/>
      </w:rPr>
    </w:pPr>
    <w:r>
      <w:rPr>
        <w:color w:val="auto"/>
        <w:sz w:val="16"/>
        <w:szCs w:val="16"/>
      </w:rPr>
      <w:t>July 1, 2018</w:t>
    </w:r>
  </w:p>
  <w:p w:rsidR="0022020A" w:rsidRDefault="00220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E49" w:rsidRDefault="005F3E49" w:rsidP="0022020A">
      <w:r>
        <w:separator/>
      </w:r>
    </w:p>
  </w:footnote>
  <w:footnote w:type="continuationSeparator" w:id="0">
    <w:p w:rsidR="005F3E49" w:rsidRDefault="005F3E49" w:rsidP="00220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C12BA"/>
    <w:multiLevelType w:val="hybridMultilevel"/>
    <w:tmpl w:val="5B88CC56"/>
    <w:lvl w:ilvl="0" w:tplc="057CA74C">
      <w:start w:val="1"/>
      <w:numFmt w:val="bullet"/>
      <w:lvlText w:val=""/>
      <w:lvlJc w:val="left"/>
      <w:pPr>
        <w:tabs>
          <w:tab w:val="num" w:pos="720"/>
        </w:tabs>
        <w:ind w:left="720" w:hanging="360"/>
      </w:pPr>
      <w:rPr>
        <w:rFonts w:ascii="Symbol" w:hAnsi="Symbol" w:hint="default"/>
      </w:rPr>
    </w:lvl>
    <w:lvl w:ilvl="1" w:tplc="D5744B32">
      <w:start w:val="1"/>
      <w:numFmt w:val="bullet"/>
      <w:lvlText w:val=""/>
      <w:lvlJc w:val="left"/>
      <w:pPr>
        <w:tabs>
          <w:tab w:val="num" w:pos="1440"/>
        </w:tabs>
        <w:ind w:left="1440" w:hanging="360"/>
      </w:pPr>
      <w:rPr>
        <w:rFonts w:ascii="Wingdings 2" w:hAnsi="Wingdings 2"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EA1A00"/>
    <w:multiLevelType w:val="hybridMultilevel"/>
    <w:tmpl w:val="1D3009AA"/>
    <w:lvl w:ilvl="0" w:tplc="0BAE878E">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A73644"/>
    <w:multiLevelType w:val="hybridMultilevel"/>
    <w:tmpl w:val="CA666234"/>
    <w:lvl w:ilvl="0" w:tplc="057CA74C">
      <w:start w:val="1"/>
      <w:numFmt w:val="bullet"/>
      <w:lvlText w:val=""/>
      <w:lvlJc w:val="left"/>
      <w:pPr>
        <w:tabs>
          <w:tab w:val="num" w:pos="720"/>
        </w:tabs>
        <w:ind w:left="720" w:hanging="360"/>
      </w:pPr>
      <w:rPr>
        <w:rFonts w:ascii="Symbol" w:hAnsi="Symbol" w:hint="default"/>
      </w:rPr>
    </w:lvl>
    <w:lvl w:ilvl="1" w:tplc="D5744B32">
      <w:start w:val="1"/>
      <w:numFmt w:val="bullet"/>
      <w:lvlText w:val=""/>
      <w:lvlJc w:val="left"/>
      <w:pPr>
        <w:tabs>
          <w:tab w:val="num" w:pos="1440"/>
        </w:tabs>
        <w:ind w:left="1440" w:hanging="360"/>
      </w:pPr>
      <w:rPr>
        <w:rFonts w:ascii="Wingdings 2" w:hAnsi="Wingdings 2"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3C27D6"/>
    <w:multiLevelType w:val="hybridMultilevel"/>
    <w:tmpl w:val="61DC8C6E"/>
    <w:lvl w:ilvl="0" w:tplc="09C2A448">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C4C593B"/>
    <w:multiLevelType w:val="hybridMultilevel"/>
    <w:tmpl w:val="0050594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6D5F40"/>
    <w:multiLevelType w:val="hybridMultilevel"/>
    <w:tmpl w:val="65F011DA"/>
    <w:lvl w:ilvl="0" w:tplc="09C2A44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E96FF8"/>
    <w:multiLevelType w:val="hybridMultilevel"/>
    <w:tmpl w:val="6F0ECB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86512E"/>
    <w:multiLevelType w:val="hybridMultilevel"/>
    <w:tmpl w:val="1C761CE2"/>
    <w:lvl w:ilvl="0" w:tplc="04090003">
      <w:start w:val="1"/>
      <w:numFmt w:val="bullet"/>
      <w:lvlText w:val="o"/>
      <w:lvlJc w:val="left"/>
      <w:pPr>
        <w:tabs>
          <w:tab w:val="num" w:pos="720"/>
        </w:tabs>
        <w:ind w:left="720" w:hanging="360"/>
      </w:pPr>
      <w:rPr>
        <w:rFonts w:ascii="Courier New" w:hAnsi="Courier New" w:hint="default"/>
      </w:rPr>
    </w:lvl>
    <w:lvl w:ilvl="1" w:tplc="CD1C5D5A">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747BC9"/>
    <w:multiLevelType w:val="hybridMultilevel"/>
    <w:tmpl w:val="5044AD6C"/>
    <w:lvl w:ilvl="0" w:tplc="04090003">
      <w:start w:val="1"/>
      <w:numFmt w:val="bullet"/>
      <w:lvlText w:val="o"/>
      <w:lvlJc w:val="left"/>
      <w:pPr>
        <w:tabs>
          <w:tab w:val="num" w:pos="720"/>
        </w:tabs>
        <w:ind w:left="720" w:hanging="360"/>
      </w:pPr>
      <w:rPr>
        <w:rFonts w:ascii="Courier New" w:hAnsi="Courier New" w:hint="default"/>
      </w:rPr>
    </w:lvl>
    <w:lvl w:ilvl="1" w:tplc="D5744B32">
      <w:start w:val="1"/>
      <w:numFmt w:val="bullet"/>
      <w:lvlText w:val=""/>
      <w:lvlJc w:val="left"/>
      <w:pPr>
        <w:tabs>
          <w:tab w:val="num" w:pos="1440"/>
        </w:tabs>
        <w:ind w:left="1440" w:hanging="360"/>
      </w:pPr>
      <w:rPr>
        <w:rFonts w:ascii="Wingdings 2" w:hAnsi="Wingdings 2"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C42837"/>
    <w:multiLevelType w:val="hybridMultilevel"/>
    <w:tmpl w:val="EF9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5A1F0E"/>
    <w:multiLevelType w:val="hybridMultilevel"/>
    <w:tmpl w:val="FE64D840"/>
    <w:lvl w:ilvl="0" w:tplc="0BAE878E">
      <w:start w:val="1"/>
      <w:numFmt w:val="bullet"/>
      <w:lvlText w:val=""/>
      <w:lvlJc w:val="left"/>
      <w:pPr>
        <w:tabs>
          <w:tab w:val="num" w:pos="720"/>
        </w:tabs>
        <w:ind w:left="720" w:hanging="360"/>
      </w:pPr>
      <w:rPr>
        <w:rFonts w:ascii="Symbol" w:hAnsi="Symbol" w:hint="default"/>
        <w:color w:val="000000"/>
      </w:rPr>
    </w:lvl>
    <w:lvl w:ilvl="1" w:tplc="CD1C5D5A">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D4776A"/>
    <w:multiLevelType w:val="hybridMultilevel"/>
    <w:tmpl w:val="E24AE7FE"/>
    <w:lvl w:ilvl="0" w:tplc="04090003">
      <w:start w:val="1"/>
      <w:numFmt w:val="bullet"/>
      <w:lvlText w:val="o"/>
      <w:lvlJc w:val="left"/>
      <w:pPr>
        <w:tabs>
          <w:tab w:val="num" w:pos="720"/>
        </w:tabs>
        <w:ind w:left="720" w:hanging="360"/>
      </w:pPr>
      <w:rPr>
        <w:rFonts w:ascii="Courier New" w:hAnsi="Courier New" w:hint="default"/>
      </w:rPr>
    </w:lvl>
    <w:lvl w:ilvl="1" w:tplc="D5744B32">
      <w:start w:val="1"/>
      <w:numFmt w:val="bullet"/>
      <w:lvlText w:val=""/>
      <w:lvlJc w:val="left"/>
      <w:pPr>
        <w:tabs>
          <w:tab w:val="num" w:pos="1440"/>
        </w:tabs>
        <w:ind w:left="1440" w:hanging="360"/>
      </w:pPr>
      <w:rPr>
        <w:rFonts w:ascii="Wingdings 2" w:hAnsi="Wingdings 2"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D3111F"/>
    <w:multiLevelType w:val="hybridMultilevel"/>
    <w:tmpl w:val="2A04592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E6F3841"/>
    <w:multiLevelType w:val="hybridMultilevel"/>
    <w:tmpl w:val="751C30E2"/>
    <w:lvl w:ilvl="0" w:tplc="04090001">
      <w:start w:val="1"/>
      <w:numFmt w:val="bullet"/>
      <w:lvlText w:val=""/>
      <w:lvlJc w:val="left"/>
      <w:pPr>
        <w:tabs>
          <w:tab w:val="num" w:pos="720"/>
        </w:tabs>
        <w:ind w:left="720" w:hanging="360"/>
      </w:pPr>
      <w:rPr>
        <w:rFonts w:ascii="Symbol" w:hAnsi="Symbol" w:hint="default"/>
      </w:rPr>
    </w:lvl>
    <w:lvl w:ilvl="1" w:tplc="6582826A">
      <w:start w:val="1"/>
      <w:numFmt w:val="bullet"/>
      <w:lvlText w:val=""/>
      <w:lvlJc w:val="left"/>
      <w:pPr>
        <w:tabs>
          <w:tab w:val="num" w:pos="1440"/>
        </w:tabs>
        <w:ind w:left="1440" w:hanging="360"/>
      </w:pPr>
      <w:rPr>
        <w:rFonts w:ascii="Symbol" w:hAnsi="Symbol" w:hint="default"/>
        <w:color w:val="auto"/>
      </w:rPr>
    </w:lvl>
    <w:lvl w:ilvl="2" w:tplc="0409000F">
      <w:start w:val="1"/>
      <w:numFmt w:val="decimal"/>
      <w:lvlText w:val="%3."/>
      <w:lvlJc w:val="left"/>
      <w:pPr>
        <w:tabs>
          <w:tab w:val="num" w:pos="2160"/>
        </w:tabs>
        <w:ind w:left="21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lvlOverride w:ilvl="0"/>
    <w:lvlOverride w:ilvl="1"/>
    <w:lvlOverride w:ilvl="2">
      <w:startOverride w:val="1"/>
    </w:lvlOverride>
    <w:lvlOverride w:ilvl="3"/>
    <w:lvlOverride w:ilvl="4"/>
    <w:lvlOverride w:ilvl="5"/>
    <w:lvlOverride w:ilvl="6"/>
    <w:lvlOverride w:ilvl="7"/>
    <w:lvlOverride w:ilvl="8"/>
  </w:num>
  <w:num w:numId="2">
    <w:abstractNumId w:val="5"/>
  </w:num>
  <w:num w:numId="3">
    <w:abstractNumId w:val="3"/>
  </w:num>
  <w:num w:numId="4">
    <w:abstractNumId w:val="12"/>
  </w:num>
  <w:num w:numId="5">
    <w:abstractNumId w:val="4"/>
  </w:num>
  <w:num w:numId="6">
    <w:abstractNumId w:val="9"/>
  </w:num>
  <w:num w:numId="7">
    <w:abstractNumId w:val="2"/>
  </w:num>
  <w:num w:numId="8">
    <w:abstractNumId w:val="0"/>
  </w:num>
  <w:num w:numId="9">
    <w:abstractNumId w:val="7"/>
  </w:num>
  <w:num w:numId="10">
    <w:abstractNumId w:val="10"/>
  </w:num>
  <w:num w:numId="11">
    <w:abstractNumId w:val="8"/>
  </w:num>
  <w:num w:numId="12">
    <w:abstractNumId w:val="11"/>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569"/>
    <w:rsid w:val="001A30C5"/>
    <w:rsid w:val="0022020A"/>
    <w:rsid w:val="005F3E49"/>
    <w:rsid w:val="00901569"/>
    <w:rsid w:val="00DD06F1"/>
    <w:rsid w:val="00F2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D44D9"/>
  <w15:chartTrackingRefBased/>
  <w15:docId w15:val="{66A7D575-72BB-4DD2-AFD3-4D1C890A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20A"/>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2020A"/>
    <w:rPr>
      <w:rFonts w:cs="Times New Roman"/>
      <w:color w:val="0000FF"/>
      <w:u w:val="single"/>
    </w:rPr>
  </w:style>
  <w:style w:type="paragraph" w:styleId="ListParagraph">
    <w:name w:val="List Paragraph"/>
    <w:basedOn w:val="Normal"/>
    <w:uiPriority w:val="34"/>
    <w:qFormat/>
    <w:rsid w:val="0022020A"/>
    <w:pPr>
      <w:ind w:left="720"/>
      <w:contextualSpacing/>
    </w:pPr>
  </w:style>
  <w:style w:type="paragraph" w:customStyle="1" w:styleId="bullet-in-a-box">
    <w:name w:val="bullet-in-a-box"/>
    <w:basedOn w:val="Normal"/>
    <w:rsid w:val="0022020A"/>
    <w:pPr>
      <w:spacing w:after="180"/>
    </w:pPr>
    <w:rPr>
      <w:color w:val="auto"/>
      <w:szCs w:val="24"/>
    </w:rPr>
  </w:style>
  <w:style w:type="paragraph" w:styleId="CommentText">
    <w:name w:val="annotation text"/>
    <w:basedOn w:val="Normal"/>
    <w:link w:val="CommentTextChar"/>
    <w:uiPriority w:val="99"/>
    <w:unhideWhenUsed/>
    <w:rsid w:val="0022020A"/>
    <w:pPr>
      <w:spacing w:after="200"/>
    </w:pPr>
    <w:rPr>
      <w:rFonts w:ascii="Calibri" w:eastAsia="Calibri" w:hAnsi="Calibri"/>
      <w:color w:val="auto"/>
      <w:sz w:val="20"/>
    </w:rPr>
  </w:style>
  <w:style w:type="character" w:customStyle="1" w:styleId="CommentTextChar">
    <w:name w:val="Comment Text Char"/>
    <w:basedOn w:val="DefaultParagraphFont"/>
    <w:link w:val="CommentText"/>
    <w:uiPriority w:val="99"/>
    <w:rsid w:val="0022020A"/>
    <w:rPr>
      <w:rFonts w:ascii="Calibri" w:eastAsia="Calibri" w:hAnsi="Calibri" w:cs="Times New Roman"/>
      <w:sz w:val="20"/>
      <w:szCs w:val="20"/>
    </w:rPr>
  </w:style>
  <w:style w:type="paragraph" w:styleId="Header">
    <w:name w:val="header"/>
    <w:basedOn w:val="Normal"/>
    <w:link w:val="HeaderChar"/>
    <w:uiPriority w:val="99"/>
    <w:unhideWhenUsed/>
    <w:rsid w:val="0022020A"/>
    <w:pPr>
      <w:tabs>
        <w:tab w:val="center" w:pos="4680"/>
        <w:tab w:val="right" w:pos="9360"/>
      </w:tabs>
    </w:pPr>
  </w:style>
  <w:style w:type="character" w:customStyle="1" w:styleId="HeaderChar">
    <w:name w:val="Header Char"/>
    <w:basedOn w:val="DefaultParagraphFont"/>
    <w:link w:val="Header"/>
    <w:uiPriority w:val="99"/>
    <w:rsid w:val="0022020A"/>
    <w:rPr>
      <w:rFonts w:ascii="Times New Roman" w:eastAsia="Times New Roman" w:hAnsi="Times New Roman" w:cs="Times New Roman"/>
      <w:color w:val="000000"/>
      <w:sz w:val="24"/>
      <w:szCs w:val="20"/>
    </w:rPr>
  </w:style>
  <w:style w:type="paragraph" w:styleId="Footer">
    <w:name w:val="footer"/>
    <w:basedOn w:val="Normal"/>
    <w:link w:val="FooterChar"/>
    <w:uiPriority w:val="99"/>
    <w:unhideWhenUsed/>
    <w:rsid w:val="0022020A"/>
    <w:pPr>
      <w:tabs>
        <w:tab w:val="center" w:pos="4680"/>
        <w:tab w:val="right" w:pos="9360"/>
      </w:tabs>
    </w:pPr>
  </w:style>
  <w:style w:type="character" w:customStyle="1" w:styleId="FooterChar">
    <w:name w:val="Footer Char"/>
    <w:basedOn w:val="DefaultParagraphFont"/>
    <w:link w:val="Footer"/>
    <w:uiPriority w:val="99"/>
    <w:rsid w:val="0022020A"/>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vaccines/schedules/downloads/adult/adult-combined-schedule.pdf" TargetMode="External"/><Relationship Id="rId13" Type="http://schemas.openxmlformats.org/officeDocument/2006/relationships/hyperlink" Target="http://www.fda.gov/BiologicsBloodVaccines/Vaccines/ApprovedProducts/ucm392016.htm" TargetMode="External"/><Relationship Id="rId18" Type="http://schemas.openxmlformats.org/officeDocument/2006/relationships/hyperlink" Target="http://www.cdc.gov/mmwr/preview/mmwrhtml/rr6202a1.htm"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gsksource.com/pharma/content/dam/GlaxoSmithKline/US/en/Prescribing_Information/Hiberix/pdf/HIBERIX.PDF" TargetMode="External"/><Relationship Id="rId12" Type="http://schemas.openxmlformats.org/officeDocument/2006/relationships/hyperlink" Target="http://www.immunize.org/express/issue1114.asp" TargetMode="External"/><Relationship Id="rId17" Type="http://schemas.openxmlformats.org/officeDocument/2006/relationships/hyperlink" Target="http://www.cdc.gov/vaccines/programs/vfc/downloads/resolutions/1013-mening-mcv.pdf"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www.cdc.gov/vaccines/programs/vfc/downloads/resolutions/2016-10-3-mening.pdf" TargetMode="External"/><Relationship Id="rId20" Type="http://schemas.openxmlformats.org/officeDocument/2006/relationships/hyperlink" Target="https://www.cdc.gov/vaccines/schedules/downloads/child/0-18yrs-child-combined-schedul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vaccines/programs/vfc/downloads/resolutions/02-13-1-pneumo.pdf"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www.immunize.org/askexperts/experts_hpv.asp" TargetMode="External"/><Relationship Id="rId23" Type="http://schemas.openxmlformats.org/officeDocument/2006/relationships/theme" Target="theme/theme1.xml"/><Relationship Id="rId10" Type="http://schemas.openxmlformats.org/officeDocument/2006/relationships/hyperlink" Target="http://www.merck.com/product/usa/pi_circulars/g/gardasil_9/gardasil_9_pi.pdf" TargetMode="External"/><Relationship Id="rId19" Type="http://schemas.openxmlformats.org/officeDocument/2006/relationships/hyperlink" Target="http://www.cdc.gov/vaccines/programs/vfc/downloads/resolutions/2017-02-01-hepb.pdf" TargetMode="External"/><Relationship Id="rId4" Type="http://schemas.openxmlformats.org/officeDocument/2006/relationships/webSettings" Target="webSettings.xml"/><Relationship Id="rId9" Type="http://schemas.openxmlformats.org/officeDocument/2006/relationships/hyperlink" Target="http://dx.doi.org/10.15585/mmwr.mm6636a5" TargetMode="External"/><Relationship Id="rId14" Type="http://schemas.openxmlformats.org/officeDocument/2006/relationships/hyperlink" Target="https://www.cdc.gov/vaccines/schedules/downloads/child/0-18yrs-child-combined-schedule.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A3744AC592B640B8707D73CB378076" ma:contentTypeVersion="6" ma:contentTypeDescription="Create a new document." ma:contentTypeScope="" ma:versionID="08b1c5649a9675a27885690bb6ac4a7a">
  <xsd:schema xmlns:xsd="http://www.w3.org/2001/XMLSchema" xmlns:xs="http://www.w3.org/2001/XMLSchema" xmlns:p="http://schemas.microsoft.com/office/2006/metadata/properties" xmlns:ns1="http://schemas.microsoft.com/sharepoint/v3" xmlns:ns2="4466f2a3-f624-42fa-becf-73c6367aacdc" xmlns:ns3="e82f08f1-0813-4298-bae3-41851726d38f" xmlns:ns4="9d98fa39-7fbd-4685-a488-797cac822720" targetNamespace="http://schemas.microsoft.com/office/2006/metadata/properties" ma:root="true" ma:fieldsID="3350081ae68aa4dff1c76f22344fdd5b" ns1:_="" ns2:_="" ns3:_="" ns4:_="">
    <xsd:import namespace="http://schemas.microsoft.com/sharepoint/v3"/>
    <xsd:import namespace="4466f2a3-f624-42fa-becf-73c6367aacdc"/>
    <xsd:import namespace="e82f08f1-0813-4298-bae3-41851726d38f"/>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olDphHcabFormTypes" minOccurs="0"/>
                <xsd:element ref="ns3:chfsDpqiHcabAgenc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66f2a3-f624-42fa-becf-73c6367aacdc" elementFormDefault="qualified">
    <xsd:import namespace="http://schemas.microsoft.com/office/2006/documentManagement/types"/>
    <xsd:import namespace="http://schemas.microsoft.com/office/infopath/2007/PartnerControls"/>
    <xsd:element name="solDphHcabFormTypes" ma:index="10" nillable="true" ma:displayName="FormTypes" ma:format="Dropdown" ma:internalName="solDphHcabFormTypes">
      <xsd:simpleType>
        <xsd:restriction base="dms:Choice">
          <xsd:enumeration value="Cancer"/>
          <xsd:enumeration value="Diabetes"/>
          <xsd:enumeration value="Domestic Violence"/>
          <xsd:enumeration value="Family Planning"/>
          <xsd:enumeration value="Sterilization"/>
          <xsd:enumeration value="Growth Charts"/>
          <xsd:enumeration value="Health Risk Assessments"/>
          <xsd:enumeration value="Hepatitis C"/>
          <xsd:enumeration value="HIV"/>
          <xsd:enumeration value="Immunization"/>
          <xsd:enumeration value="Lab"/>
          <xsd:enumeration value="Lead"/>
          <xsd:enumeration value="Oral Health"/>
          <xsd:enumeration value="Perinatal Hepatitis B"/>
          <xsd:enumeration value="Prenatal"/>
          <xsd:enumeration value="Respiratory Plans"/>
          <xsd:enumeration value="Reportable Diseases"/>
          <xsd:enumeration value="Sexually Transmitted Diseases"/>
          <xsd:enumeration value="Tobacco"/>
          <xsd:enumeration value="Tuberculosis"/>
          <xsd:enumeration value="Teaching Sheets General"/>
          <xsd:enumeration value="Domestic Violence Teaching Sheets"/>
          <xsd:enumeration value="Family Planning Teaching Sheets"/>
          <xsd:enumeration value="Sterilization Teaching Sheets"/>
          <xsd:enumeration value="Hepatitis C Teaching Sheets"/>
          <xsd:enumeration value="HIV Teaching Sheets"/>
          <xsd:enumeration value="Lead Teaching Sheets"/>
          <xsd:enumeration value="Oral Health Teaching Sheets"/>
          <xsd:enumeration value="Points to Remember Teaching Sheets"/>
          <xsd:enumeration value="Prenatal Teaching Sheets"/>
          <xsd:enumeration value="Tobacco Teaching Sheets"/>
          <xsd:enumeration value="Quality Assurance Tools Teaching Sheets"/>
          <xsd:enumeration value="Pediatrics Teaching Sheets"/>
          <xsd:enumeration value="School Health Teaching Sheets"/>
          <xsd:enumeration value="Tuberculosis Teaching Sheets"/>
          <xsd:enumeration value="Women's Health Teaching Sheets"/>
        </xsd:restriction>
      </xsd:simpleType>
    </xsd:element>
  </xsd:schema>
  <xsd:schema xmlns:xsd="http://www.w3.org/2001/XMLSchema" xmlns:xs="http://www.w3.org/2001/XMLSchema" xmlns:dms="http://schemas.microsoft.com/office/2006/documentManagement/types" xmlns:pc="http://schemas.microsoft.com/office/infopath/2007/PartnerControls" targetNamespace="e82f08f1-0813-4298-bae3-41851726d38f" elementFormDefault="qualified">
    <xsd:import namespace="http://schemas.microsoft.com/office/2006/documentManagement/types"/>
    <xsd:import namespace="http://schemas.microsoft.com/office/infopath/2007/PartnerControls"/>
    <xsd:element name="chfsDpqiHcabAgency" ma:index="11" nillable="true" ma:displayName="Agency" ma:format="Dropdown" ma:internalName="chfsDpqiHcabAgency">
      <xsd:simpleType>
        <xsd:restriction base="dms:Choice">
          <xsd:enumeration value="HCAB"/>
          <xsd:enumeration value="Nursing Office"/>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olDphHcabFormTypes xmlns="4466f2a3-f624-42fa-becf-73c6367aacdc" xsi:nil="true"/>
    <chfsDpqiHcabAgency xmlns="e82f08f1-0813-4298-bae3-41851726d38f" xsi:nil="true"/>
  </documentManagement>
</p:properties>
</file>

<file path=customXml/itemProps1.xml><?xml version="1.0" encoding="utf-8"?>
<ds:datastoreItem xmlns:ds="http://schemas.openxmlformats.org/officeDocument/2006/customXml" ds:itemID="{60C1B0F5-D5DD-4FD4-B6B4-E89177CF5810}"/>
</file>

<file path=customXml/itemProps2.xml><?xml version="1.0" encoding="utf-8"?>
<ds:datastoreItem xmlns:ds="http://schemas.openxmlformats.org/officeDocument/2006/customXml" ds:itemID="{7B282809-6820-46CC-8B41-AC216F61A4DA}"/>
</file>

<file path=customXml/itemProps3.xml><?xml version="1.0" encoding="utf-8"?>
<ds:datastoreItem xmlns:ds="http://schemas.openxmlformats.org/officeDocument/2006/customXml" ds:itemID="{1241AA06-6E3E-40D4-956E-B52A707B719F}"/>
</file>

<file path=docProps/app.xml><?xml version="1.0" encoding="utf-8"?>
<Properties xmlns="http://schemas.openxmlformats.org/officeDocument/2006/extended-properties" xmlns:vt="http://schemas.openxmlformats.org/officeDocument/2006/docPropsVTypes">
  <Template>Normal</Template>
  <TotalTime>6</TotalTime>
  <Pages>9</Pages>
  <Words>3129</Words>
  <Characters>17840</Characters>
  <Application>Microsoft Office Word</Application>
  <DocSecurity>0</DocSecurity>
  <Lines>148</Lines>
  <Paragraphs>41</Paragraphs>
  <ScaleCrop>false</ScaleCrop>
  <Company>Commonwealth of Kentucky</Company>
  <LinksUpToDate>false</LinksUpToDate>
  <CharactersWithSpaces>20928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IMMUNIZATIONS - (BB) - Tetanus Diphtheria and Tetanus Diphtheria Acellular Pertussis (Td-Tdap) Vaccine</dc:title>
  <dc:subject/>
  <dc:creator>Cunningham, Troi (CHFS PH EPI)</dc:creator>
  <cp:keywords/>
  <dc:description/>
  <cp:lastModifiedBy>Cunningham, Troi (CHFS PH EPI)</cp:lastModifiedBy>
  <cp:revision>3</cp:revision>
  <dcterms:created xsi:type="dcterms:W3CDTF">2018-06-29T19:15:00Z</dcterms:created>
  <dcterms:modified xsi:type="dcterms:W3CDTF">2018-06-29T19:25:00Z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0x0101004AA3744AC592B640B8707D73CB378076</vt:lpwstr>
  </property>
</Properties>
</file>