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3" w:rsidRPr="00567007" w:rsidRDefault="003045B9" w:rsidP="0030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07">
        <w:rPr>
          <w:rFonts w:ascii="Times New Roman" w:hAnsi="Times New Roman" w:cs="Times New Roman"/>
          <w:b/>
          <w:sz w:val="28"/>
          <w:szCs w:val="28"/>
        </w:rPr>
        <w:t>Diphtheria Tetanus Acellular Pertussis-Inactivated Poliovirus</w:t>
      </w:r>
    </w:p>
    <w:p w:rsidR="003045B9" w:rsidRPr="00567007" w:rsidRDefault="003045B9" w:rsidP="00304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07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567007">
        <w:rPr>
          <w:rFonts w:ascii="Times New Roman" w:hAnsi="Times New Roman" w:cs="Times New Roman"/>
          <w:b/>
          <w:sz w:val="28"/>
          <w:szCs w:val="28"/>
        </w:rPr>
        <w:t>DTaP</w:t>
      </w:r>
      <w:proofErr w:type="spellEnd"/>
      <w:r w:rsidRPr="00567007">
        <w:rPr>
          <w:rFonts w:ascii="Times New Roman" w:hAnsi="Times New Roman" w:cs="Times New Roman"/>
          <w:b/>
          <w:sz w:val="28"/>
          <w:szCs w:val="28"/>
        </w:rPr>
        <w:t>-IPV) Combination Vaccine (</w:t>
      </w:r>
      <w:r w:rsidR="00F27A91" w:rsidRPr="00567007">
        <w:rPr>
          <w:rFonts w:ascii="Times New Roman" w:hAnsi="Times New Roman" w:cs="Times New Roman"/>
          <w:b/>
          <w:sz w:val="28"/>
          <w:szCs w:val="28"/>
        </w:rPr>
        <w:t>QUADRACEL</w:t>
      </w:r>
      <w:r w:rsidRPr="00567007">
        <w:rPr>
          <w:rFonts w:ascii="Times New Roman" w:hAnsi="Times New Roman" w:cs="Times New Roman"/>
          <w:b/>
          <w:sz w:val="28"/>
          <w:szCs w:val="28"/>
          <w:vertAlign w:val="superscript"/>
        </w:rPr>
        <w:t>®</w:t>
      </w:r>
      <w:r w:rsidRPr="00567007">
        <w:rPr>
          <w:rFonts w:ascii="Times New Roman" w:hAnsi="Times New Roman" w:cs="Times New Roman"/>
          <w:b/>
          <w:sz w:val="28"/>
          <w:szCs w:val="28"/>
        </w:rPr>
        <w:t>)</w:t>
      </w:r>
    </w:p>
    <w:p w:rsidR="003045B9" w:rsidRDefault="003045B9" w:rsidP="00304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Precautions and Contraindications</w:t>
      </w: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 all patients for precautions and contraindications to immunization.</w:t>
      </w: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Indications and Usage</w:t>
      </w: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3D">
        <w:rPr>
          <w:rFonts w:ascii="Times New Roman" w:hAnsi="Times New Roman" w:cs="Times New Roman"/>
          <w:b/>
          <w:sz w:val="24"/>
          <w:szCs w:val="24"/>
        </w:rPr>
        <w:t>QUADRACEL</w:t>
      </w:r>
      <w:r w:rsidRPr="0011503D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 indicated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active immunization against diphtheria, tetanus, pertussis, and poliomyelitis.  </w:t>
      </w:r>
      <w:r w:rsidRPr="0011503D">
        <w:rPr>
          <w:rFonts w:ascii="Times New Roman" w:hAnsi="Times New Roman" w:cs="Times New Roman"/>
          <w:b/>
          <w:sz w:val="24"/>
          <w:szCs w:val="24"/>
        </w:rPr>
        <w:t>QUADRACEL</w:t>
      </w:r>
      <w:r w:rsidRPr="0011503D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-IPV) </w:t>
      </w:r>
      <w:proofErr w:type="gramStart"/>
      <w:r>
        <w:rPr>
          <w:rFonts w:ascii="Times New Roman" w:hAnsi="Times New Roman" w:cs="Times New Roman"/>
          <w:sz w:val="24"/>
          <w:szCs w:val="24"/>
        </w:rPr>
        <w:t>is 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fifth dose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 series and the fourth or fifth dose in the IPV series in children 4 through 6 years of age who have received four doses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sz w:val="24"/>
          <w:szCs w:val="24"/>
        </w:rPr>
        <w:t>-IPV-Hib (PENTACEL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) and/or </w:t>
      </w:r>
      <w:proofErr w:type="spellStart"/>
      <w:r>
        <w:rPr>
          <w:rFonts w:ascii="Times New Roman" w:hAnsi="Times New Roman" w:cs="Times New Roman"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(DAPTACEL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>) vaccine.</w:t>
      </w: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Recommended Schedule</w:t>
      </w: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single dose in children 4 through 6 years of age who meet eligibility requirements.  The minimum interval from dose 4 to dose 5 should be at least 6 months to provide an optimum booster response.  Note that the final dose in the IPV series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administered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age ≥4 years regardless of the number of previous doses, and with a minimum interval of 6 months from the previous dose.</w:t>
      </w: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Dosage</w:t>
      </w:r>
    </w:p>
    <w:p w:rsidR="003045B9" w:rsidRDefault="003045B9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3D">
        <w:rPr>
          <w:rFonts w:ascii="Times New Roman" w:hAnsi="Times New Roman" w:cs="Times New Roman"/>
          <w:b/>
          <w:sz w:val="24"/>
          <w:szCs w:val="24"/>
        </w:rPr>
        <w:t>QUADRACEL</w:t>
      </w:r>
      <w:r w:rsidRPr="0011503D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is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administered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single 0.5</w:t>
      </w:r>
      <w:r w:rsidR="00F27A91">
        <w:rPr>
          <w:rFonts w:ascii="Times New Roman" w:hAnsi="Times New Roman" w:cs="Times New Roman"/>
          <w:sz w:val="24"/>
          <w:szCs w:val="24"/>
        </w:rPr>
        <w:t xml:space="preserve"> mL dose by intramuscular (IM) injection.  </w:t>
      </w:r>
      <w:r w:rsidR="00F27A91" w:rsidRPr="0011503D">
        <w:rPr>
          <w:rFonts w:ascii="Times New Roman" w:hAnsi="Times New Roman" w:cs="Times New Roman"/>
          <w:b/>
          <w:sz w:val="24"/>
          <w:szCs w:val="24"/>
        </w:rPr>
        <w:t>QUADRACEL</w:t>
      </w:r>
      <w:r w:rsidR="00F27A91" w:rsidRPr="0011503D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F27A9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27A91">
        <w:rPr>
          <w:rFonts w:ascii="Times New Roman" w:hAnsi="Times New Roman" w:cs="Times New Roman"/>
          <w:sz w:val="24"/>
          <w:szCs w:val="24"/>
        </w:rPr>
        <w:t>is available in suspension for injection, supplied in single dose (0.5</w:t>
      </w:r>
      <w:r w:rsidR="00F27A91" w:rsidRPr="00F27A91">
        <w:rPr>
          <w:rFonts w:ascii="Times New Roman" w:hAnsi="Times New Roman" w:cs="Times New Roman"/>
          <w:sz w:val="24"/>
          <w:szCs w:val="24"/>
        </w:rPr>
        <w:t xml:space="preserve"> </w:t>
      </w:r>
      <w:r w:rsidR="00F27A91">
        <w:rPr>
          <w:rFonts w:ascii="Times New Roman" w:hAnsi="Times New Roman" w:cs="Times New Roman"/>
          <w:sz w:val="24"/>
          <w:szCs w:val="24"/>
        </w:rPr>
        <w:t>mL</w:t>
      </w:r>
      <w:r w:rsidR="0011503D">
        <w:rPr>
          <w:rFonts w:ascii="Times New Roman" w:hAnsi="Times New Roman" w:cs="Times New Roman"/>
          <w:sz w:val="24"/>
          <w:szCs w:val="24"/>
        </w:rPr>
        <w:t>) vials.</w:t>
      </w: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03D">
        <w:rPr>
          <w:rFonts w:ascii="Times New Roman" w:hAnsi="Times New Roman" w:cs="Times New Roman"/>
          <w:b/>
          <w:sz w:val="24"/>
          <w:szCs w:val="24"/>
          <w:u w:val="single"/>
        </w:rPr>
        <w:t>Preparation for Administration</w:t>
      </w: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Shake the vial well, until a uniform, white, cloudy suspension results before use.  Parenteral drug products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should be inspected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visually for particulate matter and discoloration prior to administration, whenever solution and container permit.  If either of these conditions exists, the product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should not be administered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Anatomical Site</w:t>
      </w: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preferred site of administration is the deltoid muscle of the upper arm.</w:t>
      </w: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not administer QUADRACEL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b/>
          <w:sz w:val="24"/>
          <w:szCs w:val="24"/>
        </w:rPr>
        <w:t xml:space="preserve"> intravenously,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intradermally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or subcutaneously.</w:t>
      </w: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Precautions</w:t>
      </w: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Guillain-Barré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 occurs within 6 weeks of receipt of a prior vaccine containing tetanus toxoid, the decision to give any tetanus toxoid-containing vaccine, including </w:t>
      </w:r>
      <w:r>
        <w:rPr>
          <w:rFonts w:ascii="Times New Roman" w:hAnsi="Times New Roman" w:cs="Times New Roman"/>
          <w:b/>
          <w:sz w:val="24"/>
          <w:szCs w:val="24"/>
        </w:rPr>
        <w:t>QUADRACEL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based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careful consideration of the potential benefits and possible risks.</w:t>
      </w: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Carefully consider benefits and risks before administering </w:t>
      </w:r>
      <w:r>
        <w:rPr>
          <w:rFonts w:ascii="Times New Roman" w:hAnsi="Times New Roman" w:cs="Times New Roman"/>
          <w:b/>
          <w:sz w:val="24"/>
          <w:szCs w:val="24"/>
        </w:rPr>
        <w:t>QUADRACEL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persons with a history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1503D" w:rsidRDefault="0011503D" w:rsidP="00304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03D" w:rsidRDefault="0011503D" w:rsidP="00115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Fever 40.5</w:t>
      </w:r>
      <w:r w:rsidR="003C19E1">
        <w:rPr>
          <w:rFonts w:ascii="Times New Roman" w:hAnsi="Times New Roman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 xml:space="preserve"> C or higher (105</w:t>
      </w:r>
      <w:r w:rsidR="003C19E1">
        <w:rPr>
          <w:rFonts w:ascii="Times New Roman" w:hAnsi="Times New Roman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 xml:space="preserve"> F or higher), hypotonic-</w:t>
      </w:r>
      <w:proofErr w:type="spellStart"/>
      <w:r>
        <w:rPr>
          <w:rFonts w:ascii="Times New Roman" w:hAnsi="Times New Roman" w:cs="Times New Roman"/>
          <w:sz w:val="24"/>
          <w:szCs w:val="24"/>
        </w:rPr>
        <w:t>hyporesponsive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episode (HHE) or persistent,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incolsolable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crying lasting 3 hours or longer within 48 hours after a previous pertussis-containing vaccine.</w:t>
      </w:r>
      <w:bookmarkStart w:id="0" w:name="_GoBack"/>
      <w:bookmarkEnd w:id="0"/>
    </w:p>
    <w:p w:rsidR="0011503D" w:rsidRDefault="0011503D" w:rsidP="0011503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Seizures with/without fever within 3 days after a previous pertussis-containing vaccine.</w:t>
      </w:r>
    </w:p>
    <w:p w:rsidR="0011503D" w:rsidRDefault="0011503D" w:rsidP="001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03D" w:rsidRDefault="0011503D" w:rsidP="001150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Contraindications</w:t>
      </w:r>
    </w:p>
    <w:p w:rsidR="0011503D" w:rsidRDefault="0011503D" w:rsidP="00115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Individuals with:</w:t>
      </w:r>
    </w:p>
    <w:p w:rsidR="0011503D" w:rsidRDefault="0011503D" w:rsidP="001150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Anaphylactic reaction to previous dose of any diphtheria toxoid, tetanus toxoid, pertussis, or poliovirus-containing vaccines, or to any component of </w:t>
      </w:r>
      <w:r>
        <w:rPr>
          <w:rFonts w:ascii="Times New Roman" w:hAnsi="Times New Roman" w:cs="Times New Roman"/>
          <w:b/>
          <w:sz w:val="24"/>
          <w:szCs w:val="24"/>
        </w:rPr>
        <w:t>QUADRACEL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03D" w:rsidRDefault="003C19E1" w:rsidP="001150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Encephalopa</w:t>
      </w:r>
      <w:r w:rsidR="0011503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 w:rsidR="0011503D">
        <w:rPr>
          <w:rFonts w:ascii="Times New Roman" w:hAnsi="Times New Roman" w:cs="Times New Roman"/>
          <w:sz w:val="24"/>
          <w:szCs w:val="24"/>
        </w:rPr>
        <w:t>y within 7 days of administration of a previous dose of a pertussis containing vaccine with no other identifiable cause.</w:t>
      </w:r>
    </w:p>
    <w:p w:rsidR="003C19E1" w:rsidRDefault="003C19E1" w:rsidP="0011503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 neurologic disorder, including infantile spasms, uncontrolled epilepsy, or progressive encephalopathy is a contraindication of any pertussis-containing vaccine.</w:t>
      </w:r>
    </w:p>
    <w:p w:rsidR="003C19E1" w:rsidRDefault="003C19E1" w:rsidP="003C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E1" w:rsidRDefault="003C19E1" w:rsidP="003C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Adverse Events</w:t>
      </w:r>
    </w:p>
    <w:p w:rsidR="003C19E1" w:rsidRDefault="003C19E1" w:rsidP="003C19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the product’s package insert.</w:t>
      </w:r>
    </w:p>
    <w:p w:rsidR="003C19E1" w:rsidRDefault="003C19E1" w:rsidP="003C19E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Adverse Events Following Vaccinations page of this section.</w:t>
      </w:r>
    </w:p>
    <w:p w:rsidR="003C19E1" w:rsidRDefault="003C19E1" w:rsidP="003C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E1" w:rsidRDefault="003C19E1" w:rsidP="003C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Storage and Handling</w:t>
      </w:r>
    </w:p>
    <w:p w:rsidR="003C19E1" w:rsidRDefault="003C19E1" w:rsidP="003C19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in refrigerator at 35˚F - 46</w:t>
      </w:r>
      <w:r>
        <w:rPr>
          <w:rFonts w:ascii="Times New Roman" w:hAnsi="Times New Roman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F (2</w:t>
      </w:r>
      <w:r>
        <w:rPr>
          <w:rFonts w:ascii="Times New Roman" w:hAnsi="Times New Roman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 - 8</w:t>
      </w:r>
      <w:r>
        <w:rPr>
          <w:rFonts w:ascii="Times New Roman" w:hAnsi="Times New Roman" w:cs="Times New Roman"/>
          <w:sz w:val="24"/>
          <w:szCs w:val="24"/>
        </w:rPr>
        <w:t>˚</w:t>
      </w:r>
      <w:r>
        <w:rPr>
          <w:rFonts w:ascii="Times New Roman" w:hAnsi="Times New Roman" w:cs="Times New Roman"/>
          <w:sz w:val="24"/>
          <w:szCs w:val="24"/>
        </w:rPr>
        <w:t>C).</w:t>
      </w:r>
    </w:p>
    <w:p w:rsidR="003C19E1" w:rsidRDefault="003C19E1" w:rsidP="003C19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FREEZE; discard if product </w:t>
      </w:r>
      <w:proofErr w:type="gramStart"/>
      <w:r>
        <w:rPr>
          <w:rFonts w:ascii="Times New Roman" w:hAnsi="Times New Roman" w:cs="Times New Roman"/>
          <w:sz w:val="24"/>
          <w:szCs w:val="24"/>
        </w:rPr>
        <w:t>has been frozen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9E1" w:rsidRDefault="003C19E1" w:rsidP="003C19E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use after expiration date on </w:t>
      </w:r>
      <w:proofErr w:type="gramStart"/>
      <w:r>
        <w:rPr>
          <w:rFonts w:ascii="Times New Roman" w:hAnsi="Times New Roman" w:cs="Times New Roman"/>
          <w:sz w:val="24"/>
          <w:szCs w:val="24"/>
        </w:rPr>
        <w:t>label.</w:t>
      </w:r>
      <w:proofErr w:type="gramEnd"/>
    </w:p>
    <w:p w:rsidR="003C19E1" w:rsidRDefault="003C19E1" w:rsidP="003C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9E1" w:rsidRDefault="003C19E1" w:rsidP="003C1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Additional Information</w:t>
      </w:r>
    </w:p>
    <w:p w:rsidR="003C19E1" w:rsidRDefault="003C19E1" w:rsidP="003C19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“Indications and Guidance for Use:  </w:t>
      </w:r>
      <w:proofErr w:type="spellStart"/>
      <w:r w:rsidRPr="003C19E1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3C19E1">
        <w:rPr>
          <w:rFonts w:ascii="Times New Roman" w:hAnsi="Times New Roman" w:cs="Times New Roman"/>
          <w:sz w:val="24"/>
          <w:szCs w:val="24"/>
        </w:rPr>
        <w:t>-IPV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9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QUADRACEL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Pr="003C19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indicated for use as the fifth dose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fourth or fifth dose of IPV in children aged 4 through 6 years who received four doses of PENTACEL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and/or DAPTACEL</w:t>
      </w:r>
      <w:r w:rsidRPr="003C19E1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vaccine.  This vaccine should not be administered to children aged less than 4 years of </w:t>
      </w:r>
      <w:r>
        <w:rPr>
          <w:rFonts w:ascii="Times New Roman" w:hAnsi="Times New Roman" w:cs="Times New Roman"/>
          <w:sz w:val="24"/>
          <w:szCs w:val="24"/>
          <w:u w:val="single"/>
        </w:rPr>
        <w:t>aged</w:t>
      </w:r>
      <w:r>
        <w:rPr>
          <w:rFonts w:ascii="Times New Roman" w:hAnsi="Times New Roman" w:cs="Times New Roman"/>
          <w:sz w:val="24"/>
          <w:szCs w:val="24"/>
        </w:rPr>
        <w:t xml:space="preserve"> 7 years and older; however, if </w:t>
      </w:r>
      <w:proofErr w:type="spellStart"/>
      <w:r>
        <w:rPr>
          <w:rFonts w:ascii="Times New Roman" w:hAnsi="Times New Roman" w:cs="Times New Roman"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sz w:val="24"/>
          <w:szCs w:val="24"/>
        </w:rPr>
        <w:t>-IPV (</w:t>
      </w:r>
      <w:r>
        <w:rPr>
          <w:rFonts w:ascii="Times New Roman" w:hAnsi="Times New Roman" w:cs="Times New Roman"/>
          <w:b/>
          <w:sz w:val="24"/>
          <w:szCs w:val="24"/>
        </w:rPr>
        <w:t>QUADRACEL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) is inadvertently administered for an earlier dose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and/or IPV series, the dose should be counted as valid and does not need to be repeated provided minimum interval requirements have been met (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).  Note that the final dose in the IPV series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administered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age ≥4 years regardless of the number of previous doses, and with a minimum interval of 6 months from the previous dose.  </w:t>
      </w:r>
      <w:r>
        <w:rPr>
          <w:rFonts w:ascii="Times New Roman" w:hAnsi="Times New Roman" w:cs="Times New Roman"/>
          <w:b/>
          <w:sz w:val="24"/>
          <w:szCs w:val="24"/>
        </w:rPr>
        <w:t xml:space="preserve">Data are limited on the safety and immunogenicity of interchanging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vaccines from different manufacturers (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b/>
          <w:sz w:val="24"/>
          <w:szCs w:val="24"/>
        </w:rPr>
        <w:t xml:space="preserve">ACIP recommends that, whenever feasible, the same manufacturer’s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vaccines should be used for each dose in the series; however, vaccination should not be deferred because the type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previously administered is unavailable or unknown.”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MMWR </w:t>
      </w:r>
      <w:proofErr w:type="spellStart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Morb</w:t>
      </w:r>
      <w:proofErr w:type="spellEnd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Mortal </w:t>
      </w:r>
      <w:proofErr w:type="spellStart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Wkly</w:t>
      </w:r>
      <w:proofErr w:type="spellEnd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Rep.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Sep 4</w:t>
      </w:r>
      <w:proofErr w:type="gramStart"/>
      <w:r>
        <w:rPr>
          <w:rFonts w:ascii="Times New Roman" w:hAnsi="Times New Roman" w:cs="Times New Roman"/>
          <w:sz w:val="24"/>
          <w:szCs w:val="24"/>
        </w:rPr>
        <w:t>;64</w:t>
      </w:r>
      <w:proofErr w:type="gramEnd"/>
      <w:r>
        <w:rPr>
          <w:rFonts w:ascii="Times New Roman" w:hAnsi="Times New Roman" w:cs="Times New Roman"/>
          <w:sz w:val="24"/>
          <w:szCs w:val="24"/>
        </w:rPr>
        <w:t>(34):948-9).</w:t>
      </w:r>
    </w:p>
    <w:p w:rsidR="003C19E1" w:rsidRDefault="003C19E1" w:rsidP="003C19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Vaccine Information Statements – There is no specific Vaccine Information Statement (VIS) for </w:t>
      </w:r>
      <w:r>
        <w:rPr>
          <w:rFonts w:ascii="Times New Roman" w:hAnsi="Times New Roman" w:cs="Times New Roman"/>
          <w:b/>
          <w:sz w:val="24"/>
          <w:szCs w:val="24"/>
        </w:rPr>
        <w:t>QUADRACEL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.  When administering a combination vaccine, the VIS for the individual component vaccines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be supplied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9E1" w:rsidRDefault="003C19E1" w:rsidP="003C19E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ACIP has clarified the poliovirus vaccination schedule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specific combination vaccines. 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DTap</w:t>
      </w:r>
      <w:proofErr w:type="spellEnd"/>
      <w:r>
        <w:rPr>
          <w:rFonts w:ascii="Times New Roman" w:hAnsi="Times New Roman" w:cs="Times New Roman"/>
          <w:sz w:val="24"/>
          <w:szCs w:val="24"/>
        </w:rPr>
        <w:t>-IPV/Hib (PENTACEL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) is used to provide 4 doses at ages 2, 4, 6, and 15 through 18 months, an additional booster dose of age-appropriate IPV-containing vaccine (IPV [IPOL]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DRaP</w:t>
      </w:r>
      <w:proofErr w:type="spellEnd"/>
      <w:r>
        <w:rPr>
          <w:rFonts w:ascii="Times New Roman" w:hAnsi="Times New Roman" w:cs="Times New Roman"/>
          <w:sz w:val="24"/>
          <w:szCs w:val="24"/>
        </w:rPr>
        <w:t>-IPV (KINRIX</w:t>
      </w:r>
      <w:r w:rsidRPr="003C19E1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567007">
        <w:rPr>
          <w:rFonts w:ascii="Times New Roman" w:hAnsi="Times New Roman" w:cs="Times New Roman"/>
          <w:sz w:val="24"/>
          <w:szCs w:val="24"/>
        </w:rPr>
        <w:t xml:space="preserve"> [or </w:t>
      </w:r>
      <w:r w:rsidR="00567007">
        <w:rPr>
          <w:rFonts w:ascii="Times New Roman" w:hAnsi="Times New Roman" w:cs="Times New Roman"/>
          <w:b/>
          <w:sz w:val="24"/>
          <w:szCs w:val="24"/>
        </w:rPr>
        <w:t>QUADRACEL</w:t>
      </w:r>
      <w:r w:rsidR="00567007"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 w:rsidR="00567007">
        <w:rPr>
          <w:rFonts w:ascii="Times New Roman" w:hAnsi="Times New Roman" w:cs="Times New Roman"/>
          <w:sz w:val="24"/>
          <w:szCs w:val="24"/>
        </w:rPr>
        <w:t xml:space="preserve">]) should be administered at age 4 through 6 years.  This will result in a 5-dose IPV vaccine series, which </w:t>
      </w:r>
      <w:proofErr w:type="gramStart"/>
      <w:r w:rsidR="00567007">
        <w:rPr>
          <w:rFonts w:ascii="Times New Roman" w:hAnsi="Times New Roman" w:cs="Times New Roman"/>
          <w:sz w:val="24"/>
          <w:szCs w:val="24"/>
        </w:rPr>
        <w:t>is considered</w:t>
      </w:r>
      <w:proofErr w:type="gramEnd"/>
      <w:r w:rsidR="00567007">
        <w:rPr>
          <w:rFonts w:ascii="Times New Roman" w:hAnsi="Times New Roman" w:cs="Times New Roman"/>
          <w:sz w:val="24"/>
          <w:szCs w:val="24"/>
        </w:rPr>
        <w:t xml:space="preserve"> acceptable by ACIP.  </w:t>
      </w:r>
      <w:proofErr w:type="spellStart"/>
      <w:r w:rsidR="00567007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="00567007">
        <w:rPr>
          <w:rFonts w:ascii="Times New Roman" w:hAnsi="Times New Roman" w:cs="Times New Roman"/>
          <w:sz w:val="24"/>
          <w:szCs w:val="24"/>
        </w:rPr>
        <w:t xml:space="preserve">-IPV/Hib </w:t>
      </w:r>
      <w:r w:rsidR="00567007">
        <w:rPr>
          <w:rFonts w:ascii="Times New Roman" w:hAnsi="Times New Roman" w:cs="Times New Roman"/>
          <w:sz w:val="24"/>
          <w:szCs w:val="24"/>
        </w:rPr>
        <w:t>(PENTACEL</w:t>
      </w:r>
      <w:r w:rsidR="00567007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567007">
        <w:rPr>
          <w:rFonts w:ascii="Times New Roman" w:hAnsi="Times New Roman" w:cs="Times New Roman"/>
          <w:sz w:val="24"/>
          <w:szCs w:val="24"/>
        </w:rPr>
        <w:t>)</w:t>
      </w:r>
      <w:r w:rsidR="00567007">
        <w:rPr>
          <w:rFonts w:ascii="Times New Roman" w:hAnsi="Times New Roman" w:cs="Times New Roman"/>
          <w:sz w:val="24"/>
          <w:szCs w:val="24"/>
        </w:rPr>
        <w:t xml:space="preserve"> is not indicated for the booster dose at age </w:t>
      </w:r>
      <w:proofErr w:type="gramStart"/>
      <w:r w:rsidR="0056700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567007">
        <w:rPr>
          <w:rFonts w:ascii="Times New Roman" w:hAnsi="Times New Roman" w:cs="Times New Roman"/>
          <w:sz w:val="24"/>
          <w:szCs w:val="24"/>
        </w:rPr>
        <w:t xml:space="preserve"> through 6 years.  ACIP recommends that the </w:t>
      </w:r>
      <w:r w:rsidR="00567007">
        <w:rPr>
          <w:rFonts w:ascii="Times New Roman" w:hAnsi="Times New Roman" w:cs="Times New Roman"/>
          <w:sz w:val="24"/>
          <w:szCs w:val="24"/>
        </w:rPr>
        <w:lastRenderedPageBreak/>
        <w:t>minimum interval from dose 4 to dose 5 should be at least 6 months to provide an optimum booster response.  In accordance with existing recommendations, if a child misses an IPV dose at age 4 through 6 years, the child should receive a booster dose as soon as feasible (</w:t>
      </w:r>
      <w:r w:rsidR="0056700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MMWR </w:t>
      </w:r>
      <w:proofErr w:type="spellStart"/>
      <w:r w:rsidR="0056700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Morb</w:t>
      </w:r>
      <w:proofErr w:type="spellEnd"/>
      <w:r w:rsidR="0056700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Mortal </w:t>
      </w:r>
      <w:proofErr w:type="spellStart"/>
      <w:r w:rsidR="0056700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Wkly</w:t>
      </w:r>
      <w:proofErr w:type="spellEnd"/>
      <w:r w:rsidR="00567007"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Rep</w:t>
      </w:r>
      <w:r w:rsidR="00567007">
        <w:rPr>
          <w:rFonts w:ascii="Times New Roman" w:hAnsi="Times New Roman" w:cs="Times New Roman"/>
          <w:sz w:val="24"/>
          <w:szCs w:val="24"/>
        </w:rPr>
        <w:t xml:space="preserve"> August 7, 2009/58(30); 830).</w:t>
      </w: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Liang J,</w:t>
      </w:r>
      <w:r w:rsidRPr="005670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Wallace G,</w:t>
      </w:r>
      <w:r w:rsidRPr="0056700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>Mootrey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G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Licensure of a Diphtheria and Tetanus Toxoids and Acellular Pertussis Absorbed and Inactivated Poliovirus Vaccine and Guidance for Use as a Booster Dose.  </w:t>
      </w:r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MMWR </w:t>
      </w:r>
      <w:proofErr w:type="spellStart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Morb</w:t>
      </w:r>
      <w:proofErr w:type="spellEnd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Mortal </w:t>
      </w:r>
      <w:proofErr w:type="spellStart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>Wkly</w:t>
      </w:r>
      <w:proofErr w:type="spellEnd"/>
      <w:r>
        <w:rPr>
          <w:rFonts w:ascii="Times New Roman" w:hAnsi="Times New Roman" w:cs="Times New Roman"/>
          <w:i/>
          <w:color w:val="0070C0"/>
          <w:sz w:val="24"/>
          <w:szCs w:val="24"/>
          <w:u w:val="single"/>
        </w:rPr>
        <w:t xml:space="preserve"> Rep.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 Sep 4</w:t>
      </w:r>
      <w:proofErr w:type="gramStart"/>
      <w:r>
        <w:rPr>
          <w:rFonts w:ascii="Times New Roman" w:hAnsi="Times New Roman" w:cs="Times New Roman"/>
          <w:sz w:val="24"/>
          <w:szCs w:val="24"/>
        </w:rPr>
        <w:t>;64</w:t>
      </w:r>
      <w:proofErr w:type="gramEnd"/>
      <w:r>
        <w:rPr>
          <w:rFonts w:ascii="Times New Roman" w:hAnsi="Times New Roman" w:cs="Times New Roman"/>
          <w:sz w:val="24"/>
          <w:szCs w:val="24"/>
        </w:rPr>
        <w:t>(34):948-9.</w:t>
      </w: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QUADRACEL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Package Insert (dated 03/2015)</w:t>
      </w: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D26A6">
          <w:rPr>
            <w:rStyle w:val="Hyperlink"/>
            <w:rFonts w:ascii="Times New Roman" w:hAnsi="Times New Roman" w:cs="Times New Roman"/>
            <w:sz w:val="24"/>
            <w:szCs w:val="24"/>
          </w:rPr>
          <w:t>http://www.fda.gov/downloads/BiologicsBloodVaccines/Vaccines/ApprovedProducts/UCM439903.pdf</w:t>
        </w:r>
      </w:hyperlink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007" w:rsidRPr="00567007" w:rsidRDefault="00567007" w:rsidP="00567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updated July 1, 2017</w:t>
      </w:r>
    </w:p>
    <w:sectPr w:rsidR="00567007" w:rsidRPr="005670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83" w:rsidRDefault="00EE1483" w:rsidP="00567007">
      <w:pPr>
        <w:spacing w:after="0" w:line="240" w:lineRule="auto"/>
      </w:pPr>
      <w:r>
        <w:separator/>
      </w:r>
    </w:p>
  </w:endnote>
  <w:endnote w:type="continuationSeparator" w:id="0">
    <w:p w:rsidR="00EE1483" w:rsidRDefault="00EE1483" w:rsidP="0056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007" w:rsidRDefault="00567007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567007">
      <w:rPr>
        <w:rFonts w:ascii="Times New Roman" w:hAnsi="Times New Roman" w:cs="Times New Roman"/>
        <w:sz w:val="16"/>
        <w:szCs w:val="16"/>
      </w:rPr>
      <w:t xml:space="preserve">Page </w:t>
    </w:r>
    <w:r w:rsidRPr="00567007">
      <w:rPr>
        <w:rFonts w:ascii="Times New Roman" w:hAnsi="Times New Roman" w:cs="Times New Roman"/>
        <w:sz w:val="16"/>
        <w:szCs w:val="16"/>
      </w:rPr>
      <w:fldChar w:fldCharType="begin"/>
    </w:r>
    <w:r w:rsidRPr="00567007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Pr="00567007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 w:rsidRPr="00567007">
      <w:rPr>
        <w:rFonts w:ascii="Times New Roman" w:hAnsi="Times New Roman" w:cs="Times New Roman"/>
        <w:sz w:val="16"/>
        <w:szCs w:val="16"/>
      </w:rPr>
      <w:fldChar w:fldCharType="end"/>
    </w:r>
    <w:r w:rsidRPr="00567007">
      <w:rPr>
        <w:rFonts w:ascii="Times New Roman" w:hAnsi="Times New Roman" w:cs="Times New Roman"/>
        <w:sz w:val="16"/>
        <w:szCs w:val="16"/>
      </w:rPr>
      <w:t xml:space="preserve"> of </w:t>
    </w:r>
    <w:r w:rsidRPr="00567007">
      <w:rPr>
        <w:rFonts w:ascii="Times New Roman" w:hAnsi="Times New Roman" w:cs="Times New Roman"/>
        <w:sz w:val="16"/>
        <w:szCs w:val="16"/>
      </w:rPr>
      <w:fldChar w:fldCharType="begin"/>
    </w:r>
    <w:r w:rsidRPr="00567007"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 w:rsidRPr="00567007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3</w:t>
    </w:r>
    <w:r w:rsidRPr="00567007">
      <w:rPr>
        <w:rFonts w:ascii="Times New Roman" w:hAnsi="Times New Roman" w:cs="Times New Roman"/>
        <w:sz w:val="16"/>
        <w:szCs w:val="16"/>
      </w:rPr>
      <w:fldChar w:fldCharType="end"/>
    </w:r>
  </w:p>
  <w:p w:rsidR="00567007" w:rsidRDefault="00567007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Core Clinical Service Guide</w:t>
    </w:r>
  </w:p>
  <w:p w:rsidR="00567007" w:rsidRDefault="00567007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Section:  Immunizations – (F) – </w:t>
    </w:r>
    <w:proofErr w:type="spellStart"/>
    <w:r>
      <w:rPr>
        <w:rFonts w:ascii="Times New Roman" w:hAnsi="Times New Roman" w:cs="Times New Roman"/>
        <w:sz w:val="16"/>
        <w:szCs w:val="16"/>
      </w:rPr>
      <w:t>DTaP</w:t>
    </w:r>
    <w:proofErr w:type="spellEnd"/>
    <w:r>
      <w:rPr>
        <w:rFonts w:ascii="Times New Roman" w:hAnsi="Times New Roman" w:cs="Times New Roman"/>
        <w:sz w:val="16"/>
        <w:szCs w:val="16"/>
      </w:rPr>
      <w:t>-IPV (QUADRACEL)</w:t>
    </w:r>
  </w:p>
  <w:p w:rsidR="00567007" w:rsidRPr="00567007" w:rsidRDefault="00567007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July 1, 2018</w:t>
    </w:r>
  </w:p>
  <w:p w:rsidR="00567007" w:rsidRDefault="00567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83" w:rsidRDefault="00EE1483" w:rsidP="00567007">
      <w:pPr>
        <w:spacing w:after="0" w:line="240" w:lineRule="auto"/>
      </w:pPr>
      <w:r>
        <w:separator/>
      </w:r>
    </w:p>
  </w:footnote>
  <w:footnote w:type="continuationSeparator" w:id="0">
    <w:p w:rsidR="00EE1483" w:rsidRDefault="00EE1483" w:rsidP="0056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7F7"/>
    <w:multiLevelType w:val="hybridMultilevel"/>
    <w:tmpl w:val="9E2A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08C2"/>
    <w:multiLevelType w:val="hybridMultilevel"/>
    <w:tmpl w:val="5D24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95EE6"/>
    <w:multiLevelType w:val="hybridMultilevel"/>
    <w:tmpl w:val="E9BC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23FCA"/>
    <w:multiLevelType w:val="hybridMultilevel"/>
    <w:tmpl w:val="C9B8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4F56"/>
    <w:multiLevelType w:val="hybridMultilevel"/>
    <w:tmpl w:val="9E30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1F"/>
    <w:rsid w:val="0011503D"/>
    <w:rsid w:val="003045B9"/>
    <w:rsid w:val="003C19E1"/>
    <w:rsid w:val="00567007"/>
    <w:rsid w:val="00C55E47"/>
    <w:rsid w:val="00EE1483"/>
    <w:rsid w:val="00EE5E1F"/>
    <w:rsid w:val="00F25F63"/>
    <w:rsid w:val="00F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A917"/>
  <w15:chartTrackingRefBased/>
  <w15:docId w15:val="{4A2042BA-0932-49D6-A5DB-65D5CAF2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0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07"/>
  </w:style>
  <w:style w:type="paragraph" w:styleId="Footer">
    <w:name w:val="footer"/>
    <w:basedOn w:val="Normal"/>
    <w:link w:val="FooterChar"/>
    <w:uiPriority w:val="99"/>
    <w:unhideWhenUsed/>
    <w:rsid w:val="005670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da.gov/downloads/BiologicsBloodVaccines/Vaccines/ApprovedProducts/UCM439903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17D0941C-65F2-4CC2-8F10-1C927A557868}"/>
</file>

<file path=customXml/itemProps2.xml><?xml version="1.0" encoding="utf-8"?>
<ds:datastoreItem xmlns:ds="http://schemas.openxmlformats.org/officeDocument/2006/customXml" ds:itemID="{B02F19E6-B596-4381-BB58-8A16091AF33D}"/>
</file>

<file path=customXml/itemProps3.xml><?xml version="1.0" encoding="utf-8"?>
<ds:datastoreItem xmlns:ds="http://schemas.openxmlformats.org/officeDocument/2006/customXml" ds:itemID="{7CDCAABD-F765-4C25-88A4-D143F1A24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(F) - DTaP-IPV (QUADRACEL)</dc:title>
  <dc:subject/>
  <dc:creator>Cunningham, Troi (CHFS PH EPI)</dc:creator>
  <cp:keywords/>
  <dc:description/>
  <cp:lastModifiedBy>Cunningham, Troi (CHFS PH EPI)</cp:lastModifiedBy>
  <cp:revision>5</cp:revision>
  <dcterms:created xsi:type="dcterms:W3CDTF">2018-06-29T15:40:00Z</dcterms:created>
  <dcterms:modified xsi:type="dcterms:W3CDTF">2018-06-29T16:33:00Z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