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F0" w:rsidRPr="002D3E3D" w:rsidRDefault="009F2AF0" w:rsidP="009F2AF0">
      <w:pPr>
        <w:autoSpaceDE w:val="0"/>
        <w:autoSpaceDN w:val="0"/>
        <w:ind w:left="720"/>
        <w:jc w:val="center"/>
        <w:rPr>
          <w:b/>
          <w:sz w:val="28"/>
          <w:szCs w:val="28"/>
        </w:rPr>
      </w:pPr>
      <w:r w:rsidRPr="002D3E3D">
        <w:rPr>
          <w:b/>
          <w:sz w:val="28"/>
          <w:szCs w:val="28"/>
        </w:rPr>
        <w:t>Hepatitis A/B Vaccine (TWINRIX</w:t>
      </w:r>
      <w:r w:rsidRPr="009F2AF0">
        <w:rPr>
          <w:b/>
          <w:sz w:val="28"/>
          <w:szCs w:val="28"/>
          <w:vertAlign w:val="superscript"/>
        </w:rPr>
        <w:t>®</w:t>
      </w:r>
      <w:r w:rsidRPr="002D3E3D">
        <w:rPr>
          <w:b/>
          <w:sz w:val="28"/>
          <w:szCs w:val="28"/>
        </w:rPr>
        <w:t>)</w:t>
      </w:r>
    </w:p>
    <w:p w:rsidR="009F2AF0" w:rsidRPr="00F57DE8" w:rsidRDefault="009F2AF0" w:rsidP="009F2AF0">
      <w:pPr>
        <w:autoSpaceDE w:val="0"/>
        <w:autoSpaceDN w:val="0"/>
        <w:rPr>
          <w:sz w:val="18"/>
          <w:szCs w:val="18"/>
        </w:rPr>
      </w:pPr>
    </w:p>
    <w:p w:rsidR="009F2AF0" w:rsidRDefault="009F2AF0" w:rsidP="009F2AF0">
      <w:pPr>
        <w:autoSpaceDE w:val="0"/>
        <w:autoSpaceDN w:val="0"/>
        <w:adjustRightInd w:val="0"/>
        <w:spacing w:after="40"/>
        <w:rPr>
          <w:b/>
          <w:u w:val="single"/>
        </w:rPr>
      </w:pPr>
      <w:r>
        <w:rPr>
          <w:b/>
          <w:u w:val="single"/>
        </w:rPr>
        <w:t>Precautions and Contraindications</w:t>
      </w:r>
    </w:p>
    <w:p w:rsidR="009F2AF0" w:rsidRPr="0074546F" w:rsidRDefault="009F2AF0" w:rsidP="009F2AF0">
      <w:pPr>
        <w:autoSpaceDE w:val="0"/>
        <w:autoSpaceDN w:val="0"/>
        <w:adjustRightInd w:val="0"/>
      </w:pPr>
      <w:r w:rsidRPr="0074546F">
        <w:t>Screen all patients for precautions and contraindications to immunization.</w:t>
      </w:r>
    </w:p>
    <w:p w:rsidR="009F2AF0" w:rsidRPr="00F57DE8" w:rsidRDefault="009F2AF0" w:rsidP="009F2AF0">
      <w:pPr>
        <w:widowControl w:val="0"/>
        <w:rPr>
          <w:b/>
          <w:bCs/>
          <w:sz w:val="18"/>
          <w:szCs w:val="18"/>
        </w:rPr>
      </w:pPr>
    </w:p>
    <w:p w:rsidR="009F2AF0" w:rsidRPr="002D3E3D" w:rsidRDefault="009F2AF0" w:rsidP="009F2AF0">
      <w:pPr>
        <w:autoSpaceDE w:val="0"/>
        <w:autoSpaceDN w:val="0"/>
        <w:spacing w:after="40"/>
        <w:rPr>
          <w:b/>
          <w:u w:val="single"/>
        </w:rPr>
      </w:pPr>
      <w:r w:rsidRPr="002D3E3D">
        <w:rPr>
          <w:b/>
          <w:u w:val="single"/>
        </w:rPr>
        <w:t>Indications</w:t>
      </w:r>
    </w:p>
    <w:p w:rsidR="009F2AF0" w:rsidRPr="002D3E3D" w:rsidRDefault="009F2AF0" w:rsidP="009F2AF0">
      <w:pPr>
        <w:autoSpaceDE w:val="0"/>
        <w:autoSpaceDN w:val="0"/>
        <w:rPr>
          <w:szCs w:val="18"/>
        </w:rPr>
      </w:pPr>
      <w:r w:rsidRPr="009F2AF0">
        <w:rPr>
          <w:b/>
          <w:szCs w:val="18"/>
        </w:rPr>
        <w:t>TWINRIX</w:t>
      </w:r>
      <w:r w:rsidRPr="009F2AF0">
        <w:rPr>
          <w:b/>
          <w:szCs w:val="18"/>
          <w:vertAlign w:val="superscript"/>
        </w:rPr>
        <w:t>®</w:t>
      </w:r>
      <w:r w:rsidRPr="002D3E3D">
        <w:rPr>
          <w:szCs w:val="18"/>
        </w:rPr>
        <w:t xml:space="preserve"> brand hepatitis A/B vaccine </w:t>
      </w:r>
      <w:proofErr w:type="gramStart"/>
      <w:r w:rsidRPr="002D3E3D">
        <w:rPr>
          <w:szCs w:val="18"/>
        </w:rPr>
        <w:t>is indicated</w:t>
      </w:r>
      <w:proofErr w:type="gramEnd"/>
      <w:r w:rsidRPr="002D3E3D">
        <w:rPr>
          <w:szCs w:val="18"/>
        </w:rPr>
        <w:t xml:space="preserve"> for active immunization against hepatitis A virus (HAV) and hepatitis B virus (HBV) infection for the following eligible groups:</w:t>
      </w:r>
    </w:p>
    <w:p w:rsidR="009F2AF0" w:rsidRPr="002D3E3D" w:rsidRDefault="009F2AF0" w:rsidP="009F2AF0">
      <w:pPr>
        <w:widowControl w:val="0"/>
        <w:numPr>
          <w:ilvl w:val="0"/>
          <w:numId w:val="5"/>
        </w:numPr>
        <w:autoSpaceDE w:val="0"/>
        <w:autoSpaceDN w:val="0"/>
        <w:adjustRightInd w:val="0"/>
        <w:textAlignment w:val="baseline"/>
        <w:rPr>
          <w:szCs w:val="18"/>
        </w:rPr>
      </w:pPr>
      <w:r w:rsidRPr="002D3E3D">
        <w:rPr>
          <w:szCs w:val="18"/>
        </w:rPr>
        <w:t>Any person 18 years of age or older with an indication for both hepatitis A and hepatitis</w:t>
      </w:r>
      <w:r>
        <w:rPr>
          <w:szCs w:val="18"/>
        </w:rPr>
        <w:t> </w:t>
      </w:r>
      <w:r w:rsidRPr="002D3E3D">
        <w:rPr>
          <w:szCs w:val="18"/>
        </w:rPr>
        <w:t>B vaccination</w:t>
      </w:r>
    </w:p>
    <w:p w:rsidR="009F2AF0" w:rsidRPr="002D3E3D" w:rsidRDefault="009F2AF0" w:rsidP="009F2AF0">
      <w:pPr>
        <w:widowControl w:val="0"/>
        <w:numPr>
          <w:ilvl w:val="0"/>
          <w:numId w:val="5"/>
        </w:numPr>
        <w:autoSpaceDE w:val="0"/>
        <w:autoSpaceDN w:val="0"/>
        <w:adjustRightInd w:val="0"/>
        <w:textAlignment w:val="baseline"/>
        <w:rPr>
          <w:szCs w:val="18"/>
        </w:rPr>
      </w:pPr>
      <w:r w:rsidRPr="002D3E3D">
        <w:rPr>
          <w:szCs w:val="18"/>
        </w:rPr>
        <w:t>Patients with chronic liver disease</w:t>
      </w:r>
    </w:p>
    <w:p w:rsidR="009F2AF0" w:rsidRPr="002D3E3D" w:rsidRDefault="009F2AF0" w:rsidP="009F2AF0">
      <w:pPr>
        <w:widowControl w:val="0"/>
        <w:numPr>
          <w:ilvl w:val="0"/>
          <w:numId w:val="5"/>
        </w:numPr>
        <w:autoSpaceDE w:val="0"/>
        <w:autoSpaceDN w:val="0"/>
        <w:adjustRightInd w:val="0"/>
        <w:textAlignment w:val="baseline"/>
        <w:rPr>
          <w:szCs w:val="18"/>
        </w:rPr>
      </w:pPr>
      <w:r w:rsidRPr="002D3E3D">
        <w:rPr>
          <w:szCs w:val="18"/>
        </w:rPr>
        <w:t>Injection drug users</w:t>
      </w:r>
    </w:p>
    <w:p w:rsidR="009F2AF0" w:rsidRPr="002D3E3D" w:rsidRDefault="009F2AF0" w:rsidP="009F2AF0">
      <w:pPr>
        <w:widowControl w:val="0"/>
        <w:numPr>
          <w:ilvl w:val="0"/>
          <w:numId w:val="5"/>
        </w:numPr>
        <w:autoSpaceDE w:val="0"/>
        <w:autoSpaceDN w:val="0"/>
        <w:adjustRightInd w:val="0"/>
        <w:textAlignment w:val="baseline"/>
        <w:rPr>
          <w:szCs w:val="18"/>
        </w:rPr>
      </w:pPr>
      <w:r w:rsidRPr="002D3E3D">
        <w:rPr>
          <w:szCs w:val="18"/>
        </w:rPr>
        <w:t>Men who have sex with men</w:t>
      </w:r>
    </w:p>
    <w:p w:rsidR="009F2AF0" w:rsidRPr="002D3E3D" w:rsidRDefault="009F2AF0" w:rsidP="009F2AF0">
      <w:pPr>
        <w:widowControl w:val="0"/>
        <w:numPr>
          <w:ilvl w:val="0"/>
          <w:numId w:val="5"/>
        </w:numPr>
        <w:autoSpaceDE w:val="0"/>
        <w:autoSpaceDN w:val="0"/>
        <w:adjustRightInd w:val="0"/>
        <w:textAlignment w:val="baseline"/>
        <w:rPr>
          <w:szCs w:val="18"/>
        </w:rPr>
      </w:pPr>
      <w:r w:rsidRPr="002D3E3D">
        <w:rPr>
          <w:szCs w:val="18"/>
        </w:rPr>
        <w:t>Persons with clotting factor disorders who receive therapeutic blood products</w:t>
      </w:r>
    </w:p>
    <w:p w:rsidR="009F2AF0" w:rsidRPr="002D3E3D" w:rsidRDefault="009F2AF0" w:rsidP="009F2AF0">
      <w:pPr>
        <w:widowControl w:val="0"/>
        <w:numPr>
          <w:ilvl w:val="0"/>
          <w:numId w:val="5"/>
        </w:numPr>
        <w:autoSpaceDE w:val="0"/>
        <w:autoSpaceDN w:val="0"/>
        <w:adjustRightInd w:val="0"/>
        <w:textAlignment w:val="baseline"/>
        <w:rPr>
          <w:szCs w:val="18"/>
        </w:rPr>
      </w:pPr>
      <w:r w:rsidRPr="002D3E3D">
        <w:rPr>
          <w:szCs w:val="18"/>
        </w:rPr>
        <w:t>International travelers under certain circumstances</w:t>
      </w:r>
    </w:p>
    <w:p w:rsidR="009F2AF0" w:rsidRPr="002D3E3D" w:rsidRDefault="009F2AF0" w:rsidP="009F2AF0">
      <w:pPr>
        <w:widowControl w:val="0"/>
        <w:numPr>
          <w:ilvl w:val="1"/>
          <w:numId w:val="5"/>
        </w:numPr>
        <w:autoSpaceDE w:val="0"/>
        <w:autoSpaceDN w:val="0"/>
        <w:adjustRightInd w:val="0"/>
        <w:textAlignment w:val="baseline"/>
        <w:rPr>
          <w:szCs w:val="18"/>
        </w:rPr>
      </w:pPr>
      <w:r w:rsidRPr="002D3E3D">
        <w:rPr>
          <w:szCs w:val="18"/>
        </w:rPr>
        <w:t xml:space="preserve">Hepatitis A vaccine is recommended for travelers to areas of high or intermediate hepatitis A </w:t>
      </w:r>
      <w:proofErr w:type="spellStart"/>
      <w:r w:rsidRPr="002D3E3D">
        <w:rPr>
          <w:szCs w:val="18"/>
        </w:rPr>
        <w:t>endemicity</w:t>
      </w:r>
      <w:proofErr w:type="spellEnd"/>
    </w:p>
    <w:p w:rsidR="009F2AF0" w:rsidRPr="002D3E3D" w:rsidRDefault="009F2AF0" w:rsidP="009F2AF0">
      <w:pPr>
        <w:widowControl w:val="0"/>
        <w:numPr>
          <w:ilvl w:val="1"/>
          <w:numId w:val="5"/>
        </w:numPr>
        <w:autoSpaceDE w:val="0"/>
        <w:autoSpaceDN w:val="0"/>
        <w:adjustRightInd w:val="0"/>
        <w:textAlignment w:val="baseline"/>
        <w:rPr>
          <w:szCs w:val="18"/>
        </w:rPr>
      </w:pPr>
      <w:r w:rsidRPr="002D3E3D">
        <w:rPr>
          <w:szCs w:val="18"/>
        </w:rPr>
        <w:t xml:space="preserve">Hepatitis B vaccine </w:t>
      </w:r>
      <w:proofErr w:type="gramStart"/>
      <w:r w:rsidRPr="002D3E3D">
        <w:rPr>
          <w:szCs w:val="18"/>
        </w:rPr>
        <w:t>is recommended</w:t>
      </w:r>
      <w:proofErr w:type="gramEnd"/>
      <w:r w:rsidRPr="002D3E3D">
        <w:rPr>
          <w:szCs w:val="18"/>
        </w:rPr>
        <w:t xml:space="preserve"> for travelers to areas of high or intermediate hepatitis B </w:t>
      </w:r>
      <w:proofErr w:type="spellStart"/>
      <w:r w:rsidRPr="002D3E3D">
        <w:rPr>
          <w:szCs w:val="18"/>
        </w:rPr>
        <w:t>endemicity</w:t>
      </w:r>
      <w:proofErr w:type="spellEnd"/>
      <w:r w:rsidRPr="002D3E3D">
        <w:rPr>
          <w:szCs w:val="18"/>
        </w:rPr>
        <w:t xml:space="preserve"> who plan to stay for six or more months and have frequent close contact with the local population.</w:t>
      </w:r>
    </w:p>
    <w:p w:rsidR="009F2AF0" w:rsidRPr="002D3E3D" w:rsidRDefault="009F2AF0" w:rsidP="009F2AF0">
      <w:pPr>
        <w:widowControl w:val="0"/>
        <w:numPr>
          <w:ilvl w:val="0"/>
          <w:numId w:val="5"/>
        </w:numPr>
        <w:autoSpaceDE w:val="0"/>
        <w:autoSpaceDN w:val="0"/>
        <w:adjustRightInd w:val="0"/>
        <w:textAlignment w:val="baseline"/>
        <w:rPr>
          <w:szCs w:val="18"/>
        </w:rPr>
      </w:pPr>
      <w:r w:rsidRPr="002D3E3D">
        <w:rPr>
          <w:szCs w:val="18"/>
        </w:rPr>
        <w:t>Persons at increased risk due to occupational exposure</w:t>
      </w:r>
    </w:p>
    <w:p w:rsidR="009F2AF0" w:rsidRPr="002D3E3D" w:rsidRDefault="009F2AF0" w:rsidP="009F2AF0">
      <w:pPr>
        <w:widowControl w:val="0"/>
        <w:numPr>
          <w:ilvl w:val="0"/>
          <w:numId w:val="5"/>
        </w:numPr>
        <w:autoSpaceDE w:val="0"/>
        <w:autoSpaceDN w:val="0"/>
        <w:adjustRightInd w:val="0"/>
        <w:textAlignment w:val="baseline"/>
        <w:rPr>
          <w:szCs w:val="18"/>
        </w:rPr>
      </w:pPr>
      <w:r w:rsidRPr="002D3E3D">
        <w:rPr>
          <w:szCs w:val="18"/>
        </w:rPr>
        <w:t xml:space="preserve">Hepatitis A vaccine </w:t>
      </w:r>
      <w:proofErr w:type="gramStart"/>
      <w:r w:rsidRPr="002D3E3D">
        <w:rPr>
          <w:szCs w:val="18"/>
        </w:rPr>
        <w:t>is recommended</w:t>
      </w:r>
      <w:proofErr w:type="gramEnd"/>
      <w:r w:rsidRPr="002D3E3D">
        <w:rPr>
          <w:szCs w:val="18"/>
        </w:rPr>
        <w:t xml:space="preserve"> for unvaccinated persons who anticipate close personal contact (e.g., household contact or regular babysitting) with an international adoptee from a country of high or intermediate </w:t>
      </w:r>
      <w:proofErr w:type="spellStart"/>
      <w:r w:rsidRPr="002D3E3D">
        <w:rPr>
          <w:szCs w:val="18"/>
        </w:rPr>
        <w:t>endemicity</w:t>
      </w:r>
      <w:proofErr w:type="spellEnd"/>
      <w:r w:rsidRPr="002D3E3D">
        <w:rPr>
          <w:szCs w:val="18"/>
        </w:rPr>
        <w:t xml:space="preserve"> during the first 60 days following arrival of the adoptee in the United States.  </w:t>
      </w:r>
      <w:r w:rsidRPr="002D3E3D">
        <w:t xml:space="preserve">Countries outside the US other than Canada, Australia, New Zealand, Japan, and Western Europe </w:t>
      </w:r>
      <w:proofErr w:type="gramStart"/>
      <w:r w:rsidRPr="002D3E3D">
        <w:t>should be considered</w:t>
      </w:r>
      <w:proofErr w:type="gramEnd"/>
      <w:r w:rsidRPr="002D3E3D">
        <w:t xml:space="preserve"> to have high or intermediate </w:t>
      </w:r>
      <w:proofErr w:type="spellStart"/>
      <w:r w:rsidRPr="002D3E3D">
        <w:t>endemicity</w:t>
      </w:r>
      <w:proofErr w:type="spellEnd"/>
      <w:r w:rsidRPr="002D3E3D">
        <w:t xml:space="preserve"> for hepatitis A virus.</w:t>
      </w:r>
    </w:p>
    <w:p w:rsidR="009F2AF0" w:rsidRPr="00F57DE8" w:rsidRDefault="009F2AF0" w:rsidP="009F2AF0">
      <w:pPr>
        <w:rPr>
          <w:sz w:val="18"/>
          <w:szCs w:val="18"/>
        </w:rPr>
      </w:pPr>
    </w:p>
    <w:p w:rsidR="009F2AF0" w:rsidRPr="002D3E3D" w:rsidRDefault="009F2AF0" w:rsidP="009F2AF0">
      <w:pPr>
        <w:autoSpaceDE w:val="0"/>
        <w:autoSpaceDN w:val="0"/>
        <w:spacing w:after="40"/>
        <w:rPr>
          <w:b/>
          <w:u w:val="single"/>
        </w:rPr>
      </w:pPr>
      <w:r w:rsidRPr="002D3E3D">
        <w:rPr>
          <w:b/>
          <w:u w:val="single"/>
        </w:rPr>
        <w:t>Recommended Schedule</w:t>
      </w:r>
    </w:p>
    <w:p w:rsidR="009F2AF0" w:rsidRPr="002D3E3D" w:rsidRDefault="009F2AF0" w:rsidP="009F2AF0">
      <w:pPr>
        <w:widowControl w:val="0"/>
        <w:numPr>
          <w:ilvl w:val="0"/>
          <w:numId w:val="4"/>
        </w:numPr>
        <w:autoSpaceDE w:val="0"/>
        <w:autoSpaceDN w:val="0"/>
        <w:adjustRightInd w:val="0"/>
        <w:textAlignment w:val="baseline"/>
      </w:pPr>
      <w:r w:rsidRPr="002D3E3D">
        <w:t>Persons 18 years of age or older</w:t>
      </w:r>
    </w:p>
    <w:p w:rsidR="009F2AF0" w:rsidRPr="002D3E3D" w:rsidRDefault="009F2AF0" w:rsidP="009F2AF0">
      <w:pPr>
        <w:widowControl w:val="0"/>
        <w:numPr>
          <w:ilvl w:val="0"/>
          <w:numId w:val="4"/>
        </w:numPr>
        <w:autoSpaceDE w:val="0"/>
        <w:autoSpaceDN w:val="0"/>
        <w:adjustRightInd w:val="0"/>
        <w:textAlignment w:val="baseline"/>
      </w:pPr>
      <w:r w:rsidRPr="002D3E3D">
        <w:t>For persons, 18 years of age and older, recommended for Hepatitis A vaccine because of close contact with an international adoptee, the first three doses of the 4-dose series (i.e.</w:t>
      </w:r>
      <w:r>
        <w:t> </w:t>
      </w:r>
      <w:r w:rsidRPr="002D3E3D">
        <w:t>the accelerated schedule) should be completed as soon as adoption is planned, ideally 2 or more weeks before the arrival of the adoptee.  The fourth dose (i.e.</w:t>
      </w:r>
      <w:r>
        <w:t>,</w:t>
      </w:r>
      <w:r w:rsidRPr="002D3E3D">
        <w:t xml:space="preserve"> the booster dose) in the accelerated schedule </w:t>
      </w:r>
      <w:proofErr w:type="gramStart"/>
      <w:r w:rsidRPr="002D3E3D">
        <w:t>is needed</w:t>
      </w:r>
      <w:proofErr w:type="gramEnd"/>
      <w:r w:rsidRPr="002D3E3D">
        <w:t xml:space="preserve"> to assure long-term immunity.  Alternatively, </w:t>
      </w:r>
      <w:r w:rsidRPr="009F2AF0">
        <w:rPr>
          <w:b/>
        </w:rPr>
        <w:t>TWINRIX</w:t>
      </w:r>
      <w:r>
        <w:rPr>
          <w:vertAlign w:val="superscript"/>
        </w:rPr>
        <w:t>®</w:t>
      </w:r>
      <w:r w:rsidRPr="002D3E3D">
        <w:t xml:space="preserve"> </w:t>
      </w:r>
      <w:proofErr w:type="gramStart"/>
      <w:r w:rsidRPr="002D3E3D">
        <w:t>can be given</w:t>
      </w:r>
      <w:proofErr w:type="gramEnd"/>
      <w:r w:rsidRPr="002D3E3D">
        <w:t xml:space="preserve"> with the regular dosing schedule with proper planning in anticipation of the adoption, so that all three doses are completed before the arrival of the adoptee.</w:t>
      </w:r>
    </w:p>
    <w:p w:rsidR="009F2AF0" w:rsidRPr="00F57DE8" w:rsidRDefault="009F2AF0" w:rsidP="009F2AF0">
      <w:pPr>
        <w:widowControl w:val="0"/>
        <w:autoSpaceDE w:val="0"/>
        <w:autoSpaceDN w:val="0"/>
        <w:adjustRightInd w:val="0"/>
        <w:ind w:left="360"/>
        <w:textAlignment w:val="baseline"/>
        <w:rPr>
          <w:b/>
          <w:sz w:val="18"/>
          <w:szCs w:val="18"/>
          <w:u w:val="single"/>
        </w:rPr>
      </w:pPr>
    </w:p>
    <w:p w:rsidR="009F2AF0" w:rsidRPr="002D3E3D" w:rsidRDefault="009F2AF0" w:rsidP="009F2AF0">
      <w:pPr>
        <w:autoSpaceDE w:val="0"/>
        <w:autoSpaceDN w:val="0"/>
        <w:spacing w:after="40"/>
        <w:rPr>
          <w:b/>
          <w:u w:val="single"/>
        </w:rPr>
      </w:pPr>
      <w:r w:rsidRPr="002D3E3D">
        <w:rPr>
          <w:b/>
          <w:u w:val="single"/>
        </w:rPr>
        <w:t>Dosage and Route</w:t>
      </w:r>
    </w:p>
    <w:p w:rsidR="009F2AF0" w:rsidRPr="002D3E3D" w:rsidRDefault="009F2AF0" w:rsidP="009F2AF0">
      <w:pPr>
        <w:widowControl w:val="0"/>
        <w:numPr>
          <w:ilvl w:val="0"/>
          <w:numId w:val="1"/>
        </w:numPr>
        <w:autoSpaceDE w:val="0"/>
        <w:autoSpaceDN w:val="0"/>
        <w:adjustRightInd w:val="0"/>
        <w:textAlignment w:val="baseline"/>
        <w:rPr>
          <w:b/>
        </w:rPr>
      </w:pPr>
      <w:r w:rsidRPr="009F2AF0">
        <w:rPr>
          <w:b/>
        </w:rPr>
        <w:t>TWINRIX</w:t>
      </w:r>
      <w:r w:rsidRPr="009F2AF0">
        <w:rPr>
          <w:vertAlign w:val="superscript"/>
        </w:rPr>
        <w:t>®</w:t>
      </w:r>
      <w:r w:rsidRPr="002D3E3D">
        <w:t xml:space="preserve"> </w:t>
      </w:r>
      <w:proofErr w:type="gramStart"/>
      <w:r w:rsidRPr="002D3E3D">
        <w:t>should be administered</w:t>
      </w:r>
      <w:proofErr w:type="gramEnd"/>
      <w:r w:rsidRPr="002D3E3D">
        <w:t xml:space="preserve"> by intramuscular injection.  </w:t>
      </w:r>
      <w:r w:rsidRPr="002D3E3D">
        <w:rPr>
          <w:b/>
        </w:rPr>
        <w:t xml:space="preserve">Do not inject intravenously, </w:t>
      </w:r>
      <w:proofErr w:type="spellStart"/>
      <w:r w:rsidRPr="002D3E3D">
        <w:rPr>
          <w:b/>
        </w:rPr>
        <w:t>intradermally</w:t>
      </w:r>
      <w:proofErr w:type="spellEnd"/>
      <w:r w:rsidRPr="002D3E3D">
        <w:rPr>
          <w:b/>
        </w:rPr>
        <w:t>, or subcutaneously.</w:t>
      </w:r>
    </w:p>
    <w:p w:rsidR="009F2AF0" w:rsidRPr="002D3E3D" w:rsidRDefault="009F2AF0" w:rsidP="009F2AF0">
      <w:pPr>
        <w:widowControl w:val="0"/>
        <w:numPr>
          <w:ilvl w:val="0"/>
          <w:numId w:val="1"/>
        </w:numPr>
        <w:autoSpaceDE w:val="0"/>
        <w:autoSpaceDN w:val="0"/>
        <w:adjustRightInd w:val="0"/>
        <w:textAlignment w:val="baseline"/>
        <w:rPr>
          <w:b/>
        </w:rPr>
      </w:pPr>
      <w:r w:rsidRPr="0074546F">
        <w:t>Primary immunization for adults consists of three doses, given on a 0</w:t>
      </w:r>
      <w:r w:rsidRPr="002D3E3D">
        <w:t>-</w:t>
      </w:r>
      <w:r w:rsidRPr="002D3E3D">
        <w:rPr>
          <w:b/>
          <w:szCs w:val="18"/>
        </w:rPr>
        <w:t xml:space="preserve">, </w:t>
      </w:r>
      <w:r w:rsidRPr="002D3E3D">
        <w:rPr>
          <w:szCs w:val="18"/>
        </w:rPr>
        <w:t>1-, and 6-month schedule.</w:t>
      </w:r>
    </w:p>
    <w:p w:rsidR="009F2AF0" w:rsidRPr="002D3E3D" w:rsidRDefault="009F2AF0" w:rsidP="009F2AF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b/>
        </w:rPr>
      </w:pPr>
      <w:r w:rsidRPr="002D3E3D">
        <w:rPr>
          <w:b/>
          <w:szCs w:val="18"/>
        </w:rPr>
        <w:t>Accelerated  dosing schedule:</w:t>
      </w:r>
      <w:bookmarkStart w:id="0" w:name="_GoBack"/>
      <w:bookmarkEnd w:id="0"/>
    </w:p>
    <w:p w:rsidR="009F2AF0" w:rsidRPr="002D3E3D" w:rsidRDefault="009F2AF0" w:rsidP="009F2AF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textAlignment w:val="baseline"/>
        <w:rPr>
          <w:b/>
        </w:rPr>
      </w:pPr>
      <w:r w:rsidRPr="002D3E3D">
        <w:rPr>
          <w:szCs w:val="18"/>
        </w:rPr>
        <w:lastRenderedPageBreak/>
        <w:t>4-dose schedule, given on days 0, 7 and 21 to 30 followed by a booster dose 12</w:t>
      </w:r>
      <w:r>
        <w:rPr>
          <w:szCs w:val="18"/>
        </w:rPr>
        <w:t> </w:t>
      </w:r>
      <w:r w:rsidRPr="002D3E3D">
        <w:rPr>
          <w:szCs w:val="18"/>
        </w:rPr>
        <w:t>months after the first dose.</w:t>
      </w:r>
    </w:p>
    <w:p w:rsidR="009F2AF0" w:rsidRPr="002D3E3D" w:rsidRDefault="009F2AF0" w:rsidP="009F2AF0">
      <w:pPr>
        <w:autoSpaceDE w:val="0"/>
        <w:autoSpaceDN w:val="0"/>
      </w:pPr>
    </w:p>
    <w:p w:rsidR="009F2AF0" w:rsidRPr="002D3E3D" w:rsidRDefault="009F2AF0" w:rsidP="009F2AF0">
      <w:pPr>
        <w:keepNext/>
        <w:keepLines/>
        <w:autoSpaceDE w:val="0"/>
        <w:autoSpaceDN w:val="0"/>
        <w:spacing w:after="60"/>
        <w:rPr>
          <w:sz w:val="18"/>
          <w:szCs w:val="18"/>
          <w:u w:val="single"/>
        </w:rPr>
      </w:pPr>
      <w:r w:rsidRPr="002D3E3D">
        <w:rPr>
          <w:b/>
          <w:u w:val="single"/>
        </w:rPr>
        <w:t xml:space="preserve">Anatomical Site </w:t>
      </w:r>
      <w:r w:rsidRPr="002D3E3D">
        <w:t>(</w:t>
      </w:r>
      <w:r w:rsidRPr="002D3E3D">
        <w:rPr>
          <w:szCs w:val="18"/>
        </w:rPr>
        <w:t>ACIP and the AAFP recommendations for intramuscular injections)</w:t>
      </w:r>
    </w:p>
    <w:p w:rsidR="009F2AF0" w:rsidRPr="002D3E3D" w:rsidRDefault="009F2AF0" w:rsidP="009F2AF0">
      <w:pPr>
        <w:keepNext/>
        <w:keepLines/>
        <w:widowControl w:val="0"/>
        <w:numPr>
          <w:ilvl w:val="0"/>
          <w:numId w:val="1"/>
        </w:numPr>
        <w:autoSpaceDE w:val="0"/>
        <w:autoSpaceDN w:val="0"/>
        <w:adjustRightInd w:val="0"/>
        <w:textAlignment w:val="baseline"/>
        <w:rPr>
          <w:szCs w:val="18"/>
        </w:rPr>
      </w:pPr>
      <w:r w:rsidRPr="002D3E3D">
        <w:rPr>
          <w:szCs w:val="18"/>
        </w:rPr>
        <w:t>For adults (persons 18 years of age and older) the deltoid muscle is recommended for routine intramuscular vaccinations.  The suggested needle size is 1-1</w:t>
      </w:r>
      <w:r w:rsidRPr="002D3E3D">
        <w:t>½</w:t>
      </w:r>
      <w:r w:rsidRPr="002D3E3D">
        <w:rPr>
          <w:szCs w:val="18"/>
        </w:rPr>
        <w:t xml:space="preserve"> inches and </w:t>
      </w:r>
      <w:r>
        <w:rPr>
          <w:szCs w:val="18"/>
        </w:rPr>
        <w:br/>
      </w:r>
      <w:r w:rsidRPr="002D3E3D">
        <w:rPr>
          <w:szCs w:val="18"/>
        </w:rPr>
        <w:t>22-25</w:t>
      </w:r>
      <w:r>
        <w:rPr>
          <w:szCs w:val="18"/>
        </w:rPr>
        <w:t> </w:t>
      </w:r>
      <w:r w:rsidRPr="002D3E3D">
        <w:rPr>
          <w:szCs w:val="18"/>
        </w:rPr>
        <w:t xml:space="preserve">gauge. </w:t>
      </w:r>
    </w:p>
    <w:p w:rsidR="009F2AF0" w:rsidRPr="002D3E3D" w:rsidRDefault="009F2AF0" w:rsidP="009F2AF0">
      <w:pPr>
        <w:autoSpaceDE w:val="0"/>
        <w:autoSpaceDN w:val="0"/>
        <w:rPr>
          <w:b/>
          <w:u w:val="single"/>
        </w:rPr>
      </w:pPr>
    </w:p>
    <w:p w:rsidR="009F2AF0" w:rsidRPr="002D3E3D" w:rsidRDefault="009F2AF0" w:rsidP="009F2AF0">
      <w:pPr>
        <w:autoSpaceDE w:val="0"/>
        <w:autoSpaceDN w:val="0"/>
        <w:spacing w:after="60"/>
        <w:rPr>
          <w:b/>
          <w:u w:val="single"/>
        </w:rPr>
      </w:pPr>
      <w:r w:rsidRPr="002D3E3D">
        <w:rPr>
          <w:b/>
          <w:u w:val="single"/>
        </w:rPr>
        <w:t>Precautions</w:t>
      </w:r>
    </w:p>
    <w:p w:rsidR="009F2AF0" w:rsidRPr="002D3E3D" w:rsidRDefault="009F2AF0" w:rsidP="009F2AF0">
      <w:pPr>
        <w:widowControl w:val="0"/>
        <w:numPr>
          <w:ilvl w:val="0"/>
          <w:numId w:val="1"/>
        </w:numPr>
        <w:autoSpaceDE w:val="0"/>
        <w:autoSpaceDN w:val="0"/>
        <w:adjustRightInd w:val="0"/>
        <w:textAlignment w:val="baseline"/>
        <w:rPr>
          <w:szCs w:val="18"/>
        </w:rPr>
      </w:pPr>
      <w:r w:rsidRPr="002D3E3D">
        <w:rPr>
          <w:szCs w:val="18"/>
        </w:rPr>
        <w:t xml:space="preserve">See precautions in package insert </w:t>
      </w:r>
    </w:p>
    <w:p w:rsidR="009F2AF0" w:rsidRPr="002D3E3D" w:rsidRDefault="009F2AF0" w:rsidP="009F2AF0">
      <w:pPr>
        <w:widowControl w:val="0"/>
        <w:numPr>
          <w:ilvl w:val="0"/>
          <w:numId w:val="1"/>
        </w:numPr>
        <w:autoSpaceDE w:val="0"/>
        <w:autoSpaceDN w:val="0"/>
        <w:adjustRightInd w:val="0"/>
        <w:textAlignment w:val="baseline"/>
        <w:rPr>
          <w:szCs w:val="18"/>
        </w:rPr>
      </w:pPr>
      <w:r w:rsidRPr="002D3E3D">
        <w:rPr>
          <w:szCs w:val="18"/>
        </w:rPr>
        <w:t xml:space="preserve">Latex allergy – See WARNINGS in package insert for information about any latex components in the prefilled syringes </w:t>
      </w:r>
      <w:proofErr w:type="gramStart"/>
      <w:r w:rsidRPr="002D3E3D">
        <w:rPr>
          <w:szCs w:val="18"/>
        </w:rPr>
        <w:t>being used</w:t>
      </w:r>
      <w:proofErr w:type="gramEnd"/>
      <w:r w:rsidRPr="002D3E3D">
        <w:rPr>
          <w:szCs w:val="18"/>
        </w:rPr>
        <w:t>.  The vial stopper is latex-free.</w:t>
      </w:r>
    </w:p>
    <w:p w:rsidR="009F2AF0" w:rsidRPr="002D3E3D" w:rsidRDefault="009F2AF0" w:rsidP="009F2AF0">
      <w:pPr>
        <w:widowControl w:val="0"/>
        <w:numPr>
          <w:ilvl w:val="0"/>
          <w:numId w:val="1"/>
        </w:numPr>
        <w:autoSpaceDE w:val="0"/>
        <w:autoSpaceDN w:val="0"/>
        <w:adjustRightInd w:val="0"/>
        <w:textAlignment w:val="baseline"/>
        <w:rPr>
          <w:szCs w:val="18"/>
        </w:rPr>
      </w:pPr>
      <w:r w:rsidRPr="002D3E3D">
        <w:rPr>
          <w:szCs w:val="18"/>
        </w:rPr>
        <w:t xml:space="preserve">It </w:t>
      </w:r>
      <w:proofErr w:type="gramStart"/>
      <w:r w:rsidRPr="002D3E3D">
        <w:rPr>
          <w:szCs w:val="18"/>
        </w:rPr>
        <w:t>is not known</w:t>
      </w:r>
      <w:proofErr w:type="gramEnd"/>
      <w:r w:rsidRPr="002D3E3D">
        <w:rPr>
          <w:szCs w:val="18"/>
        </w:rPr>
        <w:t xml:space="preserve"> whether the vaccine can cause fetal harm when administered to a pregnant woman or can affect reproduction capacity.  This vaccine </w:t>
      </w:r>
      <w:proofErr w:type="gramStart"/>
      <w:r w:rsidRPr="002D3E3D">
        <w:rPr>
          <w:szCs w:val="18"/>
        </w:rPr>
        <w:t>should only be given</w:t>
      </w:r>
      <w:proofErr w:type="gramEnd"/>
      <w:r w:rsidRPr="002D3E3D">
        <w:rPr>
          <w:szCs w:val="18"/>
        </w:rPr>
        <w:t xml:space="preserve"> to a pregnant woman only if clearly indicated.</w:t>
      </w:r>
    </w:p>
    <w:p w:rsidR="009F2AF0" w:rsidRDefault="009F2AF0" w:rsidP="009F2AF0">
      <w:pPr>
        <w:widowControl w:val="0"/>
        <w:numPr>
          <w:ilvl w:val="0"/>
          <w:numId w:val="1"/>
        </w:numPr>
        <w:autoSpaceDE w:val="0"/>
        <w:autoSpaceDN w:val="0"/>
        <w:adjustRightInd w:val="0"/>
        <w:textAlignment w:val="baseline"/>
      </w:pPr>
      <w:r w:rsidRPr="002D3E3D">
        <w:rPr>
          <w:szCs w:val="18"/>
        </w:rPr>
        <w:t xml:space="preserve">It </w:t>
      </w:r>
      <w:proofErr w:type="gramStart"/>
      <w:r w:rsidRPr="002D3E3D">
        <w:rPr>
          <w:szCs w:val="18"/>
        </w:rPr>
        <w:t>is not known</w:t>
      </w:r>
      <w:proofErr w:type="gramEnd"/>
      <w:r w:rsidRPr="002D3E3D">
        <w:rPr>
          <w:szCs w:val="18"/>
        </w:rPr>
        <w:t xml:space="preserve"> whether this vaccine is excreted in human milk, caution should be exercised when administered to a nursing woman.</w:t>
      </w:r>
    </w:p>
    <w:p w:rsidR="009F2AF0" w:rsidRDefault="009F2AF0" w:rsidP="009F2AF0">
      <w:pPr>
        <w:widowControl w:val="0"/>
        <w:numPr>
          <w:ilvl w:val="0"/>
          <w:numId w:val="1"/>
        </w:numPr>
        <w:autoSpaceDE w:val="0"/>
        <w:autoSpaceDN w:val="0"/>
        <w:adjustRightInd w:val="0"/>
        <w:textAlignment w:val="baseline"/>
      </w:pPr>
      <w:r w:rsidRPr="002D3E3D">
        <w:t>As with other intramuscular injections, use with caution in patients on anticoagulant therapy</w:t>
      </w:r>
    </w:p>
    <w:p w:rsidR="009F2AF0" w:rsidRPr="00CB56A2" w:rsidRDefault="009F2AF0" w:rsidP="009F2AF0">
      <w:pPr>
        <w:widowControl w:val="0"/>
        <w:autoSpaceDE w:val="0"/>
        <w:autoSpaceDN w:val="0"/>
        <w:adjustRightInd w:val="0"/>
        <w:ind w:left="720"/>
        <w:jc w:val="both"/>
        <w:textAlignment w:val="baseline"/>
      </w:pPr>
    </w:p>
    <w:p w:rsidR="009F2AF0" w:rsidRPr="002D3E3D" w:rsidRDefault="009F2AF0" w:rsidP="009F2AF0">
      <w:pPr>
        <w:autoSpaceDE w:val="0"/>
        <w:autoSpaceDN w:val="0"/>
        <w:rPr>
          <w:b/>
          <w:u w:val="single"/>
        </w:rPr>
      </w:pPr>
      <w:r w:rsidRPr="002D3E3D">
        <w:rPr>
          <w:b/>
          <w:u w:val="single"/>
        </w:rPr>
        <w:t>Contraindications</w:t>
      </w:r>
    </w:p>
    <w:p w:rsidR="009F2AF0" w:rsidRPr="002D3E3D" w:rsidRDefault="009F2AF0" w:rsidP="009F2AF0">
      <w:pPr>
        <w:autoSpaceDE w:val="0"/>
        <w:autoSpaceDN w:val="0"/>
        <w:rPr>
          <w:szCs w:val="18"/>
        </w:rPr>
      </w:pPr>
      <w:r w:rsidRPr="002D3E3D">
        <w:rPr>
          <w:szCs w:val="18"/>
        </w:rPr>
        <w:t>Individuals with:</w:t>
      </w:r>
    </w:p>
    <w:p w:rsidR="009F2AF0" w:rsidRPr="002D3E3D" w:rsidRDefault="009F2AF0" w:rsidP="009F2AF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szCs w:val="18"/>
        </w:rPr>
      </w:pPr>
      <w:r w:rsidRPr="002D3E3D">
        <w:t>Allergy to vaccine components</w:t>
      </w:r>
      <w:r w:rsidRPr="002D3E3D">
        <w:rPr>
          <w:szCs w:val="18"/>
        </w:rPr>
        <w:t xml:space="preserve"> </w:t>
      </w:r>
    </w:p>
    <w:p w:rsidR="009F2AF0" w:rsidRPr="002D3E3D" w:rsidRDefault="009F2AF0" w:rsidP="009F2AF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szCs w:val="18"/>
        </w:rPr>
      </w:pPr>
      <w:r w:rsidRPr="002D3E3D">
        <w:rPr>
          <w:szCs w:val="18"/>
        </w:rPr>
        <w:t>Allergy to Neomycin sulfate</w:t>
      </w:r>
    </w:p>
    <w:p w:rsidR="009F2AF0" w:rsidRPr="002D3E3D" w:rsidRDefault="009F2AF0" w:rsidP="009F2AF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szCs w:val="18"/>
        </w:rPr>
      </w:pPr>
      <w:r w:rsidRPr="002D3E3D">
        <w:rPr>
          <w:szCs w:val="18"/>
        </w:rPr>
        <w:t xml:space="preserve">Allergy to Yeast protein </w:t>
      </w:r>
    </w:p>
    <w:p w:rsidR="009F2AF0" w:rsidRPr="002D3E3D" w:rsidRDefault="009F2AF0" w:rsidP="009F2AF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szCs w:val="18"/>
        </w:rPr>
      </w:pPr>
      <w:r w:rsidRPr="002D3E3D">
        <w:rPr>
          <w:szCs w:val="18"/>
        </w:rPr>
        <w:t>Anaphylactic reaction to the vaccine or a constituent of the vaccine</w:t>
      </w:r>
    </w:p>
    <w:p w:rsidR="009F2AF0" w:rsidRPr="002D3E3D" w:rsidRDefault="009F2AF0" w:rsidP="009F2AF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</w:pPr>
      <w:r w:rsidRPr="002D3E3D">
        <w:t>Acute, moderate or severe illness with or without fever</w:t>
      </w:r>
    </w:p>
    <w:p w:rsidR="009F2AF0" w:rsidRPr="002D3E3D" w:rsidRDefault="009F2AF0" w:rsidP="009F2AF0">
      <w:pPr>
        <w:autoSpaceDE w:val="0"/>
        <w:autoSpaceDN w:val="0"/>
        <w:rPr>
          <w:b/>
          <w:u w:val="single"/>
        </w:rPr>
      </w:pPr>
    </w:p>
    <w:p w:rsidR="009F2AF0" w:rsidRDefault="009F2AF0" w:rsidP="009F2AF0">
      <w:pPr>
        <w:keepNext/>
        <w:keepLines/>
        <w:autoSpaceDE w:val="0"/>
        <w:autoSpaceDN w:val="0"/>
        <w:adjustRightInd w:val="0"/>
        <w:rPr>
          <w:b/>
          <w:szCs w:val="24"/>
          <w:u w:val="single"/>
        </w:rPr>
      </w:pPr>
      <w:r w:rsidRPr="002D3E3D">
        <w:rPr>
          <w:b/>
          <w:szCs w:val="24"/>
          <w:u w:val="single"/>
        </w:rPr>
        <w:t>Adverse Events</w:t>
      </w:r>
    </w:p>
    <w:p w:rsidR="009F2AF0" w:rsidRPr="000C75AE" w:rsidRDefault="009F2AF0" w:rsidP="009F2AF0">
      <w:pPr>
        <w:keepNext/>
        <w:keepLines/>
        <w:numPr>
          <w:ilvl w:val="0"/>
          <w:numId w:val="6"/>
        </w:num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0C75AE">
        <w:rPr>
          <w:sz w:val="22"/>
          <w:szCs w:val="22"/>
        </w:rPr>
        <w:t>See the product’s package insert</w:t>
      </w:r>
    </w:p>
    <w:p w:rsidR="009F2AF0" w:rsidRPr="004B5F3E" w:rsidRDefault="009F2AF0" w:rsidP="009F2AF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4B5F3E">
        <w:rPr>
          <w:sz w:val="22"/>
          <w:szCs w:val="22"/>
        </w:rPr>
        <w:t>See Adverse Events Following Vaccinations</w:t>
      </w:r>
      <w:r>
        <w:rPr>
          <w:sz w:val="22"/>
          <w:szCs w:val="22"/>
        </w:rPr>
        <w:t xml:space="preserve"> page of this section</w:t>
      </w:r>
    </w:p>
    <w:p w:rsidR="009F2AF0" w:rsidRPr="000C75AE" w:rsidRDefault="009F2AF0" w:rsidP="009F2AF0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:rsidR="009F2AF0" w:rsidRPr="002D3E3D" w:rsidRDefault="009F2AF0" w:rsidP="009F2AF0">
      <w:pPr>
        <w:autoSpaceDE w:val="0"/>
        <w:autoSpaceDN w:val="0"/>
        <w:rPr>
          <w:b/>
          <w:u w:val="single"/>
        </w:rPr>
      </w:pPr>
      <w:r w:rsidRPr="002D3E3D">
        <w:rPr>
          <w:b/>
          <w:u w:val="single"/>
        </w:rPr>
        <w:t>Storage and Handling</w:t>
      </w:r>
    </w:p>
    <w:p w:rsidR="009F2AF0" w:rsidRPr="002D3E3D" w:rsidRDefault="009F2AF0" w:rsidP="009F2AF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textAlignment w:val="baseline"/>
        <w:rPr>
          <w:b/>
          <w:u w:val="single"/>
        </w:rPr>
      </w:pPr>
      <w:r w:rsidRPr="002D3E3D">
        <w:t>Store in refrigerator at 36</w:t>
      </w:r>
      <w:r w:rsidRPr="002D3E3D">
        <w:rPr>
          <w:vertAlign w:val="superscript"/>
        </w:rPr>
        <w:t>o</w:t>
      </w:r>
      <w:r w:rsidRPr="002D3E3D">
        <w:t>F – 46</w:t>
      </w:r>
      <w:r w:rsidRPr="002D3E3D">
        <w:rPr>
          <w:vertAlign w:val="superscript"/>
        </w:rPr>
        <w:t>o</w:t>
      </w:r>
      <w:r w:rsidRPr="002D3E3D">
        <w:t>F (2</w:t>
      </w:r>
      <w:r w:rsidRPr="002D3E3D">
        <w:rPr>
          <w:vertAlign w:val="superscript"/>
        </w:rPr>
        <w:t>o</w:t>
      </w:r>
      <w:r w:rsidRPr="002D3E3D">
        <w:t>C – 8</w:t>
      </w:r>
      <w:r w:rsidRPr="002D3E3D">
        <w:rPr>
          <w:vertAlign w:val="superscript"/>
        </w:rPr>
        <w:t>o</w:t>
      </w:r>
      <w:r w:rsidRPr="002D3E3D">
        <w:t>C)</w:t>
      </w:r>
    </w:p>
    <w:p w:rsidR="009F2AF0" w:rsidRPr="002D3E3D" w:rsidRDefault="009F2AF0" w:rsidP="009F2AF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textAlignment w:val="baseline"/>
      </w:pPr>
      <w:r w:rsidRPr="002D3E3D">
        <w:t xml:space="preserve">DO NOT FREEZE; discard if product </w:t>
      </w:r>
      <w:proofErr w:type="gramStart"/>
      <w:r w:rsidRPr="002D3E3D">
        <w:t>has been frozen</w:t>
      </w:r>
      <w:proofErr w:type="gramEnd"/>
      <w:r w:rsidRPr="002D3E3D">
        <w:t>.</w:t>
      </w:r>
    </w:p>
    <w:p w:rsidR="009F2AF0" w:rsidRPr="002D3E3D" w:rsidRDefault="009F2AF0" w:rsidP="009F2AF0">
      <w:pPr>
        <w:autoSpaceDE w:val="0"/>
        <w:autoSpaceDN w:val="0"/>
        <w:rPr>
          <w:szCs w:val="18"/>
        </w:rPr>
      </w:pPr>
    </w:p>
    <w:p w:rsidR="009F2AF0" w:rsidRPr="002D3E3D" w:rsidRDefault="009F2AF0" w:rsidP="009F2AF0">
      <w:pPr>
        <w:autoSpaceDE w:val="0"/>
        <w:autoSpaceDN w:val="0"/>
        <w:rPr>
          <w:b/>
          <w:u w:val="single"/>
        </w:rPr>
      </w:pPr>
      <w:r w:rsidRPr="002D3E3D">
        <w:rPr>
          <w:b/>
          <w:u w:val="single"/>
        </w:rPr>
        <w:t>Other Important Notes</w:t>
      </w:r>
    </w:p>
    <w:p w:rsidR="009F2AF0" w:rsidRPr="002D3E3D" w:rsidRDefault="009F2AF0" w:rsidP="009F2AF0">
      <w:pPr>
        <w:widowControl w:val="0"/>
        <w:numPr>
          <w:ilvl w:val="0"/>
          <w:numId w:val="2"/>
        </w:numPr>
        <w:autoSpaceDE w:val="0"/>
        <w:autoSpaceDN w:val="0"/>
        <w:adjustRightInd w:val="0"/>
        <w:textAlignment w:val="baseline"/>
        <w:rPr>
          <w:szCs w:val="18"/>
        </w:rPr>
      </w:pPr>
      <w:r w:rsidRPr="002D3E3D">
        <w:rPr>
          <w:szCs w:val="18"/>
        </w:rPr>
        <w:t>If administered concomitantly with immune globulin (IG), use a separate syringe and different site.</w:t>
      </w:r>
    </w:p>
    <w:p w:rsidR="009F2AF0" w:rsidRPr="002D3E3D" w:rsidRDefault="009F2AF0" w:rsidP="009F2AF0">
      <w:pPr>
        <w:widowControl w:val="0"/>
        <w:numPr>
          <w:ilvl w:val="0"/>
          <w:numId w:val="2"/>
        </w:numPr>
        <w:autoSpaceDE w:val="0"/>
        <w:autoSpaceDN w:val="0"/>
        <w:adjustRightInd w:val="0"/>
        <w:textAlignment w:val="baseline"/>
        <w:rPr>
          <w:szCs w:val="18"/>
        </w:rPr>
      </w:pPr>
      <w:proofErr w:type="spellStart"/>
      <w:r w:rsidRPr="002D3E3D">
        <w:rPr>
          <w:szCs w:val="18"/>
        </w:rPr>
        <w:t>Postexposure</w:t>
      </w:r>
      <w:proofErr w:type="spellEnd"/>
      <w:r w:rsidRPr="002D3E3D">
        <w:rPr>
          <w:szCs w:val="18"/>
        </w:rPr>
        <w:t xml:space="preserve"> prophylaxis (PEP) during hepatitis A outbreaks or as part of a contact investigation.  </w:t>
      </w:r>
      <w:r w:rsidRPr="002D3E3D">
        <w:rPr>
          <w:b/>
          <w:szCs w:val="18"/>
        </w:rPr>
        <w:t>TWINRIX</w:t>
      </w:r>
      <w:r>
        <w:rPr>
          <w:szCs w:val="18"/>
          <w:vertAlign w:val="superscript"/>
        </w:rPr>
        <w:t>®</w:t>
      </w:r>
      <w:r w:rsidRPr="002D3E3D">
        <w:rPr>
          <w:b/>
          <w:szCs w:val="18"/>
        </w:rPr>
        <w:t xml:space="preserve"> vaccine </w:t>
      </w:r>
      <w:proofErr w:type="gramStart"/>
      <w:r w:rsidRPr="002D3E3D">
        <w:rPr>
          <w:b/>
          <w:szCs w:val="18"/>
        </w:rPr>
        <w:t>should not be used</w:t>
      </w:r>
      <w:proofErr w:type="gramEnd"/>
      <w:r w:rsidRPr="002D3E3D">
        <w:rPr>
          <w:b/>
          <w:szCs w:val="18"/>
        </w:rPr>
        <w:t xml:space="preserve"> for hepatitis A PEP</w:t>
      </w:r>
      <w:r w:rsidRPr="002D3E3D">
        <w:rPr>
          <w:szCs w:val="18"/>
        </w:rPr>
        <w:t xml:space="preserve">.  Use single antigen hepatitis A vaccine for hepatitis A PEP, when hepatitis A vaccine </w:t>
      </w:r>
      <w:proofErr w:type="gramStart"/>
      <w:r w:rsidRPr="002D3E3D">
        <w:rPr>
          <w:szCs w:val="18"/>
        </w:rPr>
        <w:t>is indicated</w:t>
      </w:r>
      <w:proofErr w:type="gramEnd"/>
      <w:r w:rsidRPr="002D3E3D">
        <w:rPr>
          <w:szCs w:val="18"/>
        </w:rPr>
        <w:t>.  See the Hepatitis A vaccine protocol for additional details.</w:t>
      </w:r>
    </w:p>
    <w:p w:rsidR="009F2AF0" w:rsidRPr="00173D3F" w:rsidRDefault="009F2AF0" w:rsidP="009F2AF0">
      <w:pPr>
        <w:autoSpaceDE w:val="0"/>
        <w:autoSpaceDN w:val="0"/>
        <w:adjustRightInd w:val="0"/>
        <w:spacing w:before="240"/>
        <w:rPr>
          <w:bCs/>
        </w:rPr>
      </w:pPr>
      <w:r>
        <w:lastRenderedPageBreak/>
        <w:t>Last updated January 31, 2010 and August 1, 2012</w:t>
      </w:r>
    </w:p>
    <w:p w:rsidR="00F25F63" w:rsidRDefault="00F25F63"/>
    <w:sectPr w:rsidR="00F25F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FB" w:rsidRDefault="00FD6AFB" w:rsidP="009F2AF0">
      <w:r>
        <w:separator/>
      </w:r>
    </w:p>
  </w:endnote>
  <w:endnote w:type="continuationSeparator" w:id="0">
    <w:p w:rsidR="00FD6AFB" w:rsidRDefault="00FD6AFB" w:rsidP="009F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AF0" w:rsidRDefault="009F2AF0">
    <w:pPr>
      <w:pStyle w:val="Footer"/>
      <w:jc w:val="center"/>
      <w:rPr>
        <w:color w:val="auto"/>
        <w:sz w:val="16"/>
        <w:szCs w:val="16"/>
      </w:rPr>
    </w:pPr>
    <w:r w:rsidRPr="009F2AF0">
      <w:rPr>
        <w:color w:val="auto"/>
        <w:sz w:val="16"/>
        <w:szCs w:val="16"/>
      </w:rPr>
      <w:t xml:space="preserve">Page </w:t>
    </w:r>
    <w:r w:rsidRPr="009F2AF0">
      <w:rPr>
        <w:color w:val="auto"/>
        <w:sz w:val="16"/>
        <w:szCs w:val="16"/>
      </w:rPr>
      <w:fldChar w:fldCharType="begin"/>
    </w:r>
    <w:r w:rsidRPr="009F2AF0">
      <w:rPr>
        <w:color w:val="auto"/>
        <w:sz w:val="16"/>
        <w:szCs w:val="16"/>
      </w:rPr>
      <w:instrText xml:space="preserve"> PAGE  \* Arabic  \* MERGEFORMAT </w:instrText>
    </w:r>
    <w:r w:rsidRPr="009F2AF0">
      <w:rPr>
        <w:color w:val="auto"/>
        <w:sz w:val="16"/>
        <w:szCs w:val="16"/>
      </w:rPr>
      <w:fldChar w:fldCharType="separate"/>
    </w:r>
    <w:r>
      <w:rPr>
        <w:noProof/>
        <w:color w:val="auto"/>
        <w:sz w:val="16"/>
        <w:szCs w:val="16"/>
      </w:rPr>
      <w:t>3</w:t>
    </w:r>
    <w:r w:rsidRPr="009F2AF0">
      <w:rPr>
        <w:color w:val="auto"/>
        <w:sz w:val="16"/>
        <w:szCs w:val="16"/>
      </w:rPr>
      <w:fldChar w:fldCharType="end"/>
    </w:r>
    <w:r w:rsidRPr="009F2AF0">
      <w:rPr>
        <w:color w:val="auto"/>
        <w:sz w:val="16"/>
        <w:szCs w:val="16"/>
      </w:rPr>
      <w:t xml:space="preserve"> of </w:t>
    </w:r>
    <w:r w:rsidRPr="009F2AF0">
      <w:rPr>
        <w:color w:val="auto"/>
        <w:sz w:val="16"/>
        <w:szCs w:val="16"/>
      </w:rPr>
      <w:fldChar w:fldCharType="begin"/>
    </w:r>
    <w:r w:rsidRPr="009F2AF0">
      <w:rPr>
        <w:color w:val="auto"/>
        <w:sz w:val="16"/>
        <w:szCs w:val="16"/>
      </w:rPr>
      <w:instrText xml:space="preserve"> NUMPAGES  \* Arabic  \* MERGEFORMAT </w:instrText>
    </w:r>
    <w:r w:rsidRPr="009F2AF0">
      <w:rPr>
        <w:color w:val="auto"/>
        <w:sz w:val="16"/>
        <w:szCs w:val="16"/>
      </w:rPr>
      <w:fldChar w:fldCharType="separate"/>
    </w:r>
    <w:r>
      <w:rPr>
        <w:noProof/>
        <w:color w:val="auto"/>
        <w:sz w:val="16"/>
        <w:szCs w:val="16"/>
      </w:rPr>
      <w:t>3</w:t>
    </w:r>
    <w:r w:rsidRPr="009F2AF0">
      <w:rPr>
        <w:color w:val="auto"/>
        <w:sz w:val="16"/>
        <w:szCs w:val="16"/>
      </w:rPr>
      <w:fldChar w:fldCharType="end"/>
    </w:r>
  </w:p>
  <w:p w:rsidR="009F2AF0" w:rsidRDefault="009F2AF0">
    <w:pPr>
      <w:pStyle w:val="Footer"/>
      <w:jc w:val="center"/>
      <w:rPr>
        <w:color w:val="auto"/>
        <w:sz w:val="16"/>
        <w:szCs w:val="16"/>
      </w:rPr>
    </w:pPr>
    <w:r>
      <w:rPr>
        <w:color w:val="auto"/>
        <w:sz w:val="16"/>
        <w:szCs w:val="16"/>
      </w:rPr>
      <w:t>Core Clinical Service Guide</w:t>
    </w:r>
  </w:p>
  <w:p w:rsidR="009F2AF0" w:rsidRDefault="009F2AF0">
    <w:pPr>
      <w:pStyle w:val="Footer"/>
      <w:jc w:val="center"/>
      <w:rPr>
        <w:color w:val="auto"/>
        <w:sz w:val="16"/>
        <w:szCs w:val="16"/>
      </w:rPr>
    </w:pPr>
    <w:r>
      <w:rPr>
        <w:color w:val="auto"/>
        <w:sz w:val="16"/>
        <w:szCs w:val="16"/>
      </w:rPr>
      <w:t xml:space="preserve">Section:  Immunizations – (J) – </w:t>
    </w:r>
    <w:proofErr w:type="spellStart"/>
    <w:r>
      <w:rPr>
        <w:color w:val="auto"/>
        <w:sz w:val="16"/>
        <w:szCs w:val="16"/>
      </w:rPr>
      <w:t>HepA-HepB</w:t>
    </w:r>
    <w:proofErr w:type="spellEnd"/>
    <w:r>
      <w:rPr>
        <w:color w:val="auto"/>
        <w:sz w:val="16"/>
        <w:szCs w:val="16"/>
      </w:rPr>
      <w:t xml:space="preserve"> (TWINRIX)</w:t>
    </w:r>
  </w:p>
  <w:p w:rsidR="009F2AF0" w:rsidRPr="009F2AF0" w:rsidRDefault="009F2AF0">
    <w:pPr>
      <w:pStyle w:val="Footer"/>
      <w:jc w:val="center"/>
      <w:rPr>
        <w:color w:val="5B9BD5" w:themeColor="accent1"/>
        <w:sz w:val="16"/>
        <w:szCs w:val="16"/>
      </w:rPr>
    </w:pPr>
    <w:r>
      <w:rPr>
        <w:color w:val="auto"/>
        <w:sz w:val="16"/>
        <w:szCs w:val="16"/>
      </w:rPr>
      <w:t>July 1, 2018</w:t>
    </w:r>
  </w:p>
  <w:p w:rsidR="009F2AF0" w:rsidRDefault="009F2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FB" w:rsidRDefault="00FD6AFB" w:rsidP="009F2AF0">
      <w:r>
        <w:separator/>
      </w:r>
    </w:p>
  </w:footnote>
  <w:footnote w:type="continuationSeparator" w:id="0">
    <w:p w:rsidR="00FD6AFB" w:rsidRDefault="00FD6AFB" w:rsidP="009F2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34F4"/>
    <w:multiLevelType w:val="hybridMultilevel"/>
    <w:tmpl w:val="720EEF0E"/>
    <w:lvl w:ilvl="0" w:tplc="A3209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7E9D"/>
    <w:multiLevelType w:val="hybridMultilevel"/>
    <w:tmpl w:val="294C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406AE"/>
    <w:multiLevelType w:val="hybridMultilevel"/>
    <w:tmpl w:val="FA8A2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07D0D"/>
    <w:multiLevelType w:val="hybridMultilevel"/>
    <w:tmpl w:val="9FACF9E2"/>
    <w:lvl w:ilvl="0" w:tplc="0BAE8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F3841"/>
    <w:multiLevelType w:val="hybridMultilevel"/>
    <w:tmpl w:val="751C3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282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C17DC"/>
    <w:multiLevelType w:val="hybridMultilevel"/>
    <w:tmpl w:val="369ED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F0"/>
    <w:rsid w:val="009F2AF0"/>
    <w:rsid w:val="00F25F63"/>
    <w:rsid w:val="00F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0E92E"/>
  <w15:chartTrackingRefBased/>
  <w15:docId w15:val="{79CE61C0-A5AD-4F5F-878C-E57E9492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A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AF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F2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AF0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6B6F8908-A5A5-4DF6-ADB7-D61AA819440A}"/>
</file>

<file path=customXml/itemProps2.xml><?xml version="1.0" encoding="utf-8"?>
<ds:datastoreItem xmlns:ds="http://schemas.openxmlformats.org/officeDocument/2006/customXml" ds:itemID="{4EE60CE6-8B13-457E-8116-C76E4E5F8F97}"/>
</file>

<file path=customXml/itemProps3.xml><?xml version="1.0" encoding="utf-8"?>
<ds:datastoreItem xmlns:ds="http://schemas.openxmlformats.org/officeDocument/2006/customXml" ds:itemID="{31570933-FC3F-4013-B60A-E67EAB4C2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IMMUNIZATIONS - (J) - HepA-HepB (TWINRIX)</dc:title>
  <dc:subject/>
  <dc:creator>Cunningham, Troi (CHFS PH EPI)</dc:creator>
  <cp:keywords/>
  <dc:description/>
  <cp:lastModifiedBy>Cunningham, Troi (CHFS PH EPI)</cp:lastModifiedBy>
  <cp:revision>1</cp:revision>
  <dcterms:created xsi:type="dcterms:W3CDTF">2018-06-29T16:57:00Z</dcterms:created>
  <dcterms:modified xsi:type="dcterms:W3CDTF">2018-06-29T17:01:00Z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