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F5" w:rsidRPr="0031277F" w:rsidRDefault="00F229F5" w:rsidP="00F229F5">
      <w:pPr>
        <w:keepNext/>
        <w:tabs>
          <w:tab w:val="left" w:pos="720"/>
        </w:tabs>
        <w:spacing w:before="1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1277F">
        <w:rPr>
          <w:rFonts w:ascii="Arial" w:hAnsi="Arial" w:cs="Arial"/>
          <w:b/>
          <w:bCs/>
          <w:sz w:val="32"/>
          <w:szCs w:val="32"/>
        </w:rPr>
        <w:t>Immunizations</w:t>
      </w:r>
    </w:p>
    <w:p w:rsidR="00F229F5" w:rsidRDefault="00F229F5" w:rsidP="00F229F5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bCs/>
          <w:szCs w:val="24"/>
        </w:rPr>
      </w:pPr>
      <w:r w:rsidRPr="0031277F">
        <w:rPr>
          <w:rFonts w:ascii="Arial" w:hAnsi="Arial" w:cs="Arial"/>
          <w:b/>
          <w:bCs/>
          <w:szCs w:val="24"/>
        </w:rPr>
        <w:t>Table of Contents</w:t>
      </w:r>
    </w:p>
    <w:p w:rsidR="00F229F5" w:rsidRPr="0031277F" w:rsidRDefault="00F229F5" w:rsidP="00F229F5">
      <w:pPr>
        <w:keepNext/>
        <w:tabs>
          <w:tab w:val="left" w:pos="720"/>
        </w:tabs>
        <w:jc w:val="center"/>
        <w:outlineLvl w:val="0"/>
        <w:rPr>
          <w:rFonts w:ascii="Arial" w:hAnsi="Arial" w:cs="Arial"/>
          <w:b/>
          <w:bCs/>
          <w:szCs w:val="24"/>
        </w:rPr>
      </w:pPr>
    </w:p>
    <w:p w:rsidR="00F229F5" w:rsidRDefault="00F229F5" w:rsidP="00F229F5">
      <w:pPr>
        <w:rPr>
          <w:rFonts w:ascii="Arial" w:hAnsi="Arial" w:cs="Arial"/>
          <w:i/>
          <w:color w:val="1F497D"/>
          <w:sz w:val="18"/>
          <w:szCs w:val="18"/>
        </w:rPr>
      </w:pPr>
    </w:p>
    <w:p w:rsidR="00F229F5" w:rsidRPr="007D1627" w:rsidRDefault="00F229F5" w:rsidP="00F229F5">
      <w:pPr>
        <w:rPr>
          <w:rFonts w:ascii="Arial" w:hAnsi="Arial" w:cs="Arial"/>
          <w:i/>
          <w:color w:val="1F497D"/>
          <w:sz w:val="20"/>
        </w:rPr>
      </w:pPr>
      <w:r w:rsidRPr="007D1627">
        <w:rPr>
          <w:rFonts w:ascii="Arial" w:hAnsi="Arial" w:cs="Arial"/>
          <w:i/>
          <w:color w:val="1F497D"/>
          <w:sz w:val="20"/>
        </w:rPr>
        <w:t>(</w:t>
      </w:r>
      <w:proofErr w:type="spellStart"/>
      <w:r w:rsidRPr="007D1627">
        <w:rPr>
          <w:rFonts w:ascii="Arial" w:hAnsi="Arial" w:cs="Arial"/>
          <w:i/>
          <w:color w:val="1F497D"/>
          <w:sz w:val="20"/>
        </w:rPr>
        <w:t>Ctrl+click</w:t>
      </w:r>
      <w:proofErr w:type="spellEnd"/>
      <w:r w:rsidRPr="007D1627">
        <w:rPr>
          <w:rFonts w:ascii="Arial" w:hAnsi="Arial" w:cs="Arial"/>
          <w:i/>
          <w:color w:val="1F497D"/>
          <w:sz w:val="20"/>
        </w:rPr>
        <w:t xml:space="preserve"> on text to go directly to a protocol)</w:t>
      </w:r>
    </w:p>
    <w:p w:rsidR="00F229F5" w:rsidRPr="007D1627" w:rsidRDefault="00F229F5" w:rsidP="00F229F5">
      <w:pPr>
        <w:tabs>
          <w:tab w:val="right" w:leader="dot" w:pos="9360"/>
        </w:tabs>
        <w:rPr>
          <w:rFonts w:ascii="Arial" w:hAnsi="Arial" w:cs="Arial"/>
          <w:b/>
          <w:color w:val="000066"/>
          <w:sz w:val="22"/>
          <w:szCs w:val="22"/>
        </w:rPr>
      </w:pPr>
    </w:p>
    <w:p w:rsidR="00F229F5" w:rsidRPr="007D1627" w:rsidRDefault="00F229F5" w:rsidP="00F229F5">
      <w:pPr>
        <w:tabs>
          <w:tab w:val="right" w:leader="dot" w:pos="9360"/>
        </w:tabs>
        <w:rPr>
          <w:rFonts w:ascii="Arial" w:hAnsi="Arial" w:cs="Arial"/>
          <w:b/>
          <w:sz w:val="20"/>
          <w:u w:val="single"/>
        </w:rPr>
      </w:pPr>
      <w:r w:rsidRPr="007D1627">
        <w:rPr>
          <w:rFonts w:ascii="Arial" w:hAnsi="Arial" w:cs="Arial"/>
          <w:b/>
          <w:sz w:val="20"/>
          <w:u w:val="single"/>
        </w:rPr>
        <w:t xml:space="preserve">CLINICAL PROTOCOLS </w:t>
      </w:r>
    </w:p>
    <w:p w:rsidR="00F229F5" w:rsidRPr="007D1627" w:rsidRDefault="00F229F5" w:rsidP="00F229F5">
      <w:pPr>
        <w:tabs>
          <w:tab w:val="right" w:leader="dot" w:pos="9360"/>
        </w:tabs>
        <w:rPr>
          <w:rFonts w:ascii="Arial" w:hAnsi="Arial" w:cs="Arial"/>
          <w:sz w:val="20"/>
        </w:rPr>
      </w:pPr>
    </w:p>
    <w:p w:rsidR="00F229F5" w:rsidRPr="004B6A46" w:rsidRDefault="000A538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VIS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Vaccine Information Statements (VIS)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ACIP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ACIP Recommended Immunization Schedules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DT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 (several manufacturers†)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DTaP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DTaP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(several manufacturers†)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Kinrix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DTaP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-IPV (KINRIX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Kinrix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DTaP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-IPV (QUADRACEL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DTapHepBIPV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DTaP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HepB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-IPV (PEDIARIX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DTapIPVHib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DTaP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-IPV/Hib (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Pentacel</w:t>
        </w:r>
        <w:proofErr w:type="spellEnd"/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HAV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HepA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(HAVRIX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&amp; VAQTA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HepAB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HepA-HepB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(TWINRIX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FF0000"/>
          <w:sz w:val="20"/>
        </w:rPr>
      </w:pPr>
      <w:hyperlink w:anchor="HepB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HepB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(ENGERIX-B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&amp; RECOMBIVAX HB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Hib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Hib Conjugate Vaccine (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PedvaxHIB</w:t>
        </w:r>
        <w:proofErr w:type="spellEnd"/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 xml:space="preserve"> &amp; 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ActHIB</w:t>
        </w:r>
        <w:proofErr w:type="spellEnd"/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Hiberix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Hib Tetanus Toxoid Conjugate Vaccine (HIBERIX®)</w:t>
        </w:r>
      </w:hyperlink>
      <w:r w:rsidR="00F229F5" w:rsidRPr="007D1627">
        <w:rPr>
          <w:rStyle w:val="Hyperlink"/>
          <w:rFonts w:ascii="Arial" w:hAnsi="Arial" w:cs="Arial"/>
          <w:color w:val="1F497D"/>
          <w:sz w:val="20"/>
        </w:rPr>
        <w:fldChar w:fldCharType="begin"/>
      </w:r>
      <w:r w:rsidR="00F229F5" w:rsidRPr="004B6A46">
        <w:rPr>
          <w:rStyle w:val="Hyperlink"/>
          <w:rFonts w:ascii="Arial" w:hAnsi="Arial" w:cs="Arial"/>
          <w:color w:val="1F497D"/>
          <w:sz w:val="20"/>
        </w:rPr>
        <w:instrText xml:space="preserve"> HYPERLINK  \l "HPV" </w:instrText>
      </w:r>
      <w:r w:rsidR="00F229F5" w:rsidRPr="007D1627">
        <w:rPr>
          <w:rStyle w:val="Hyperlink"/>
          <w:rFonts w:ascii="Arial" w:hAnsi="Arial" w:cs="Arial"/>
          <w:color w:val="1F497D"/>
          <w:sz w:val="20"/>
        </w:rPr>
        <w:fldChar w:fldCharType="separate"/>
      </w:r>
      <w:r w:rsidR="00F229F5" w:rsidRPr="004B6A46">
        <w:rPr>
          <w:rStyle w:val="Hyperlink"/>
          <w:rFonts w:ascii="Arial" w:hAnsi="Arial" w:cs="Arial"/>
          <w:color w:val="1F497D"/>
          <w:sz w:val="20"/>
        </w:rPr>
        <w:t xml:space="preserve"> </w:t>
      </w:r>
    </w:p>
    <w:p w:rsidR="00F229F5" w:rsidRPr="007D1627" w:rsidRDefault="00F229F5" w:rsidP="004F6528">
      <w:pPr>
        <w:pStyle w:val="ListParagraph"/>
        <w:numPr>
          <w:ilvl w:val="0"/>
          <w:numId w:val="1"/>
        </w:numPr>
        <w:ind w:left="1080" w:hanging="630"/>
        <w:rPr>
          <w:rStyle w:val="Hyperlink"/>
          <w:rFonts w:ascii="Arial" w:hAnsi="Arial" w:cs="Arial"/>
          <w:color w:val="1F497D"/>
          <w:sz w:val="20"/>
        </w:rPr>
      </w:pPr>
      <w:r w:rsidRPr="007D1627">
        <w:rPr>
          <w:rStyle w:val="Hyperlink"/>
          <w:rFonts w:ascii="Arial" w:hAnsi="Arial" w:cs="Arial"/>
          <w:color w:val="1F497D"/>
          <w:sz w:val="20"/>
        </w:rPr>
        <w:fldChar w:fldCharType="end"/>
      </w:r>
      <w:r w:rsidRPr="007D1627">
        <w:rPr>
          <w:rStyle w:val="Hyperlink"/>
          <w:rFonts w:ascii="Arial" w:hAnsi="Arial" w:cs="Arial"/>
          <w:color w:val="1F497D"/>
          <w:sz w:val="20"/>
        </w:rPr>
        <w:fldChar w:fldCharType="begin"/>
      </w:r>
      <w:r w:rsidRPr="007D1627">
        <w:rPr>
          <w:rStyle w:val="Hyperlink"/>
          <w:rFonts w:ascii="Arial" w:hAnsi="Arial" w:cs="Arial"/>
          <w:color w:val="1F497D"/>
          <w:sz w:val="20"/>
        </w:rPr>
        <w:instrText xml:space="preserve"> HYPERLINK  \l "HPV9" </w:instrText>
      </w:r>
      <w:r w:rsidRPr="007D1627">
        <w:rPr>
          <w:rStyle w:val="Hyperlink"/>
          <w:rFonts w:ascii="Arial" w:hAnsi="Arial" w:cs="Arial"/>
          <w:color w:val="1F497D"/>
          <w:sz w:val="20"/>
        </w:rPr>
        <w:fldChar w:fldCharType="separate"/>
      </w:r>
      <w:r w:rsidRPr="007D1627">
        <w:rPr>
          <w:rStyle w:val="Hyperlink"/>
          <w:rFonts w:ascii="Arial" w:hAnsi="Arial" w:cs="Arial"/>
          <w:color w:val="1F497D"/>
          <w:sz w:val="20"/>
        </w:rPr>
        <w:t>9vHPV (GARDASIL</w:t>
      </w:r>
      <w:r w:rsidRPr="007D1627">
        <w:rPr>
          <w:rStyle w:val="Hyperlink"/>
          <w:rFonts w:ascii="Arial" w:hAnsi="Arial" w:cs="Arial"/>
          <w:color w:val="1F497D"/>
          <w:sz w:val="20"/>
        </w:rPr>
        <w:sym w:font="Symbol" w:char="F0E2"/>
      </w:r>
      <w:r w:rsidRPr="007D1627">
        <w:rPr>
          <w:rStyle w:val="Hyperlink"/>
          <w:rFonts w:ascii="Arial" w:hAnsi="Arial" w:cs="Arial"/>
          <w:color w:val="1F497D"/>
          <w:sz w:val="20"/>
        </w:rPr>
        <w:t>)</w:t>
      </w:r>
    </w:p>
    <w:p w:rsidR="00F229F5" w:rsidRPr="007D1627" w:rsidRDefault="00F229F5" w:rsidP="004F6528">
      <w:pPr>
        <w:pStyle w:val="ListParagraph"/>
        <w:numPr>
          <w:ilvl w:val="0"/>
          <w:numId w:val="1"/>
        </w:numPr>
        <w:ind w:left="1080" w:hanging="630"/>
        <w:rPr>
          <w:rStyle w:val="Hyperlink"/>
          <w:rFonts w:ascii="Arial" w:hAnsi="Arial" w:cs="Arial"/>
          <w:color w:val="1F497D"/>
          <w:sz w:val="20"/>
        </w:rPr>
      </w:pPr>
      <w:r w:rsidRPr="007D1627">
        <w:rPr>
          <w:rStyle w:val="Hyperlink"/>
          <w:rFonts w:ascii="Arial" w:hAnsi="Arial" w:cs="Arial"/>
          <w:color w:val="1F497D"/>
          <w:sz w:val="20"/>
        </w:rPr>
        <w:fldChar w:fldCharType="end"/>
      </w:r>
      <w:r w:rsidRPr="007D1627">
        <w:rPr>
          <w:rStyle w:val="Hyperlink"/>
          <w:rFonts w:ascii="Arial" w:hAnsi="Arial" w:cs="Arial"/>
          <w:color w:val="1F497D"/>
          <w:sz w:val="20"/>
        </w:rPr>
        <w:fldChar w:fldCharType="begin"/>
      </w:r>
      <w:r w:rsidRPr="007D1627">
        <w:rPr>
          <w:rStyle w:val="Hyperlink"/>
          <w:rFonts w:ascii="Arial" w:hAnsi="Arial" w:cs="Arial"/>
          <w:color w:val="1F497D"/>
          <w:sz w:val="20"/>
        </w:rPr>
        <w:instrText xml:space="preserve"> HYPERLINK  \l "IIV" </w:instrText>
      </w:r>
      <w:r w:rsidRPr="007D1627">
        <w:rPr>
          <w:rStyle w:val="Hyperlink"/>
          <w:rFonts w:ascii="Arial" w:hAnsi="Arial" w:cs="Arial"/>
          <w:color w:val="1F497D"/>
          <w:sz w:val="20"/>
        </w:rPr>
        <w:fldChar w:fldCharType="separate"/>
      </w:r>
      <w:r w:rsidRPr="007D1627">
        <w:rPr>
          <w:rStyle w:val="Hyperlink"/>
          <w:rFonts w:ascii="Arial" w:hAnsi="Arial" w:cs="Arial"/>
          <w:color w:val="1F497D"/>
          <w:sz w:val="20"/>
        </w:rPr>
        <w:t>IIV (several manufacturers†)</w:t>
      </w:r>
    </w:p>
    <w:p w:rsidR="00F229F5" w:rsidRDefault="00F229F5" w:rsidP="004F6528">
      <w:pPr>
        <w:pStyle w:val="ListParagraph"/>
        <w:numPr>
          <w:ilvl w:val="0"/>
          <w:numId w:val="1"/>
        </w:numPr>
        <w:ind w:left="1080" w:hanging="630"/>
        <w:rPr>
          <w:rStyle w:val="Hyperlink"/>
          <w:rFonts w:ascii="Arial" w:hAnsi="Arial" w:cs="Arial"/>
          <w:color w:val="1F497D"/>
          <w:sz w:val="20"/>
        </w:rPr>
      </w:pPr>
      <w:r w:rsidRPr="007D1627">
        <w:rPr>
          <w:rStyle w:val="Hyperlink"/>
          <w:rFonts w:ascii="Arial" w:hAnsi="Arial" w:cs="Arial"/>
          <w:color w:val="1F497D"/>
          <w:sz w:val="20"/>
        </w:rPr>
        <w:fldChar w:fldCharType="end"/>
      </w:r>
      <w:hyperlink w:anchor="IPV" w:history="1">
        <w:r w:rsidRPr="007D1627">
          <w:rPr>
            <w:rStyle w:val="Hyperlink"/>
            <w:rFonts w:ascii="Arial" w:hAnsi="Arial" w:cs="Arial"/>
            <w:color w:val="1F497D"/>
            <w:sz w:val="20"/>
          </w:rPr>
          <w:t xml:space="preserve">IPV </w:t>
        </w:r>
      </w:hyperlink>
    </w:p>
    <w:p w:rsidR="00001FE0" w:rsidRPr="007D1627" w:rsidRDefault="00001FE0" w:rsidP="004F6528">
      <w:pPr>
        <w:pStyle w:val="ListParagraph"/>
        <w:numPr>
          <w:ilvl w:val="0"/>
          <w:numId w:val="1"/>
        </w:numPr>
        <w:ind w:left="1080" w:hanging="630"/>
        <w:rPr>
          <w:rStyle w:val="Hyperlink"/>
          <w:rFonts w:ascii="Arial" w:hAnsi="Arial" w:cs="Arial"/>
          <w:color w:val="1F497D"/>
          <w:sz w:val="20"/>
        </w:rPr>
      </w:pPr>
      <w:r>
        <w:rPr>
          <w:rStyle w:val="Hyperlink"/>
          <w:rFonts w:ascii="Arial" w:hAnsi="Arial" w:cs="Arial"/>
          <w:color w:val="1F497D"/>
          <w:sz w:val="20"/>
        </w:rPr>
        <w:t>MMR (ADULT)</w:t>
      </w:r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MMR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MMR (</w:t>
        </w:r>
        <w:r w:rsidR="002C021E">
          <w:rPr>
            <w:rStyle w:val="Hyperlink"/>
            <w:rFonts w:ascii="Arial" w:hAnsi="Arial" w:cs="Arial"/>
            <w:color w:val="1F497D"/>
            <w:sz w:val="20"/>
          </w:rPr>
          <w:t>CHILD</w:t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MMRV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MMRV (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ProQuad</w:t>
        </w:r>
        <w:proofErr w:type="spellEnd"/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F229F5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proofErr w:type="spellStart"/>
      <w:r w:rsidRPr="004B6A46">
        <w:rPr>
          <w:rStyle w:val="Hyperlink"/>
          <w:rFonts w:ascii="Arial" w:hAnsi="Arial" w:cs="Arial"/>
          <w:color w:val="1F497D"/>
          <w:sz w:val="20"/>
        </w:rPr>
        <w:t>MenACWY</w:t>
      </w:r>
      <w:proofErr w:type="spellEnd"/>
      <w:r w:rsidRPr="004B6A46">
        <w:rPr>
          <w:rStyle w:val="Hyperlink"/>
          <w:rFonts w:ascii="Arial" w:hAnsi="Arial" w:cs="Arial"/>
          <w:color w:val="1F497D"/>
          <w:sz w:val="20"/>
        </w:rPr>
        <w:t xml:space="preserve">-D or </w:t>
      </w:r>
      <w:hyperlink w:anchor="MCV4" w:history="1">
        <w:r w:rsidRPr="004B6A46">
          <w:rPr>
            <w:rStyle w:val="Hyperlink"/>
            <w:rFonts w:ascii="Arial" w:hAnsi="Arial" w:cs="Arial"/>
            <w:color w:val="1F497D"/>
            <w:sz w:val="20"/>
          </w:rPr>
          <w:t>MCV4-D (</w:t>
        </w:r>
        <w:proofErr w:type="spellStart"/>
        <w:r w:rsidRPr="004B6A46">
          <w:rPr>
            <w:rStyle w:val="Hyperlink"/>
            <w:rFonts w:ascii="Arial" w:hAnsi="Arial" w:cs="Arial"/>
            <w:color w:val="1F497D"/>
            <w:sz w:val="20"/>
          </w:rPr>
          <w:t>Menactra</w:t>
        </w:r>
        <w:proofErr w:type="spellEnd"/>
        <w:r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menveo" w:history="1"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MenACWY</w:t>
        </w:r>
        <w:proofErr w:type="spellEnd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-CRM (MENVEO®)</w:t>
        </w:r>
      </w:hyperlink>
    </w:p>
    <w:p w:rsidR="00F229F5" w:rsidRPr="004B45ED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E79" w:themeColor="accent1" w:themeShade="80"/>
          <w:sz w:val="20"/>
        </w:rPr>
      </w:pPr>
      <w:hyperlink w:anchor="Bexsero" w:history="1"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Meningococcal Group B Vaccine (</w:t>
        </w:r>
        <w:proofErr w:type="spellStart"/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MenB</w:t>
        </w:r>
        <w:proofErr w:type="spellEnd"/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) (BEXSERO®)</w:t>
        </w:r>
      </w:hyperlink>
    </w:p>
    <w:p w:rsidR="00F229F5" w:rsidRPr="004B45ED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E79" w:themeColor="accent1" w:themeShade="80"/>
          <w:sz w:val="20"/>
        </w:rPr>
      </w:pPr>
      <w:hyperlink w:anchor="Trumenba" w:history="1"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Meningococcal Group B Vaccine (</w:t>
        </w:r>
        <w:proofErr w:type="spellStart"/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MenB</w:t>
        </w:r>
        <w:proofErr w:type="spellEnd"/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) (TRUMENBA®)</w:t>
        </w:r>
      </w:hyperlink>
    </w:p>
    <w:p w:rsidR="00F229F5" w:rsidRPr="004B45ED" w:rsidRDefault="00F229F5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E79" w:themeColor="accent1" w:themeShade="80"/>
          <w:sz w:val="20"/>
        </w:rPr>
      </w:pPr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fldChar w:fldCharType="begin"/>
      </w:r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instrText xml:space="preserve"> HYPERLINK  \l "PCV13" </w:instrText>
      </w:r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fldChar w:fldCharType="separate"/>
      </w:r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t>PCV13 (</w:t>
      </w:r>
      <w:proofErr w:type="spellStart"/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t>Prevnar</w:t>
      </w:r>
      <w:proofErr w:type="spellEnd"/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t xml:space="preserve"> 13®)</w:t>
      </w:r>
    </w:p>
    <w:p w:rsidR="00F229F5" w:rsidRPr="007D1627" w:rsidRDefault="00F229F5" w:rsidP="004F6528">
      <w:pPr>
        <w:pStyle w:val="ListParagraph"/>
        <w:numPr>
          <w:ilvl w:val="0"/>
          <w:numId w:val="1"/>
        </w:numPr>
        <w:ind w:left="1080" w:hanging="630"/>
        <w:rPr>
          <w:rStyle w:val="Hyperlink"/>
          <w:rFonts w:ascii="Arial" w:hAnsi="Arial" w:cs="Arial"/>
          <w:color w:val="1F497D"/>
          <w:sz w:val="20"/>
        </w:rPr>
      </w:pPr>
      <w:r w:rsidRPr="004B45ED">
        <w:rPr>
          <w:rStyle w:val="Hyperlink"/>
          <w:rFonts w:ascii="Arial" w:hAnsi="Arial" w:cs="Arial"/>
          <w:color w:val="1F4E79" w:themeColor="accent1" w:themeShade="80"/>
          <w:sz w:val="20"/>
        </w:rPr>
        <w:fldChar w:fldCharType="end"/>
      </w:r>
      <w:hyperlink w:anchor="PPV23" w:history="1">
        <w:r w:rsidRPr="007D1627">
          <w:rPr>
            <w:rStyle w:val="Hyperlink"/>
            <w:rFonts w:ascii="Arial" w:hAnsi="Arial" w:cs="Arial"/>
            <w:color w:val="1F497D"/>
            <w:sz w:val="20"/>
          </w:rPr>
          <w:t>PPSV23 (PNEUMOVAX 23</w:t>
        </w:r>
        <w:r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Pr="007D1627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001FE0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Rotarix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RV1 (ROTARIX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6A46" w:rsidRDefault="002A4823" w:rsidP="00F229F5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rPr>
          <w:rStyle w:val="Hyperlink"/>
          <w:rFonts w:ascii="Arial" w:hAnsi="Arial" w:cs="Arial"/>
          <w:color w:val="1F497D"/>
          <w:sz w:val="20"/>
        </w:rPr>
      </w:pPr>
      <w:hyperlink w:anchor="RotaTeq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RV5 (</w:t>
        </w:r>
        <w:proofErr w:type="spellStart"/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RotaTeq</w:t>
        </w:r>
        <w:proofErr w:type="spellEnd"/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001FE0" w:rsidRPr="004B45ED" w:rsidRDefault="00F229F5" w:rsidP="00001FE0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rPr>
          <w:rFonts w:ascii="Arial" w:hAnsi="Arial" w:cs="Arial"/>
          <w:color w:val="1F4E79" w:themeColor="accent1" w:themeShade="80"/>
          <w:sz w:val="20"/>
        </w:rPr>
      </w:pPr>
      <w:r w:rsidRPr="004B45ED">
        <w:rPr>
          <w:rFonts w:ascii="Arial" w:hAnsi="Arial" w:cs="Arial"/>
          <w:color w:val="1F4E79" w:themeColor="accent1" w:themeShade="80"/>
          <w:sz w:val="20"/>
        </w:rPr>
        <w:t>Td</w:t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t>/</w:t>
      </w:r>
      <w:proofErr w:type="spellStart"/>
      <w:r w:rsidR="00001FE0" w:rsidRPr="004B45ED">
        <w:rPr>
          <w:color w:val="1F4E79" w:themeColor="accent1" w:themeShade="80"/>
        </w:rPr>
        <w:fldChar w:fldCharType="begin"/>
      </w:r>
      <w:r w:rsidR="00001FE0" w:rsidRPr="004B45ED">
        <w:rPr>
          <w:color w:val="1F4E79" w:themeColor="accent1" w:themeShade="80"/>
        </w:rPr>
        <w:instrText xml:space="preserve"> HYPERLINK \l "TdTdap" </w:instrText>
      </w:r>
      <w:r w:rsidR="00001FE0" w:rsidRPr="004B45ED">
        <w:rPr>
          <w:color w:val="1F4E79" w:themeColor="accent1" w:themeShade="80"/>
        </w:rPr>
        <w:fldChar w:fldCharType="separate"/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t>Tdap</w:t>
      </w:r>
      <w:proofErr w:type="spellEnd"/>
      <w:r w:rsidR="00001FE0" w:rsidRPr="004B45ED">
        <w:rPr>
          <w:rFonts w:ascii="Arial" w:hAnsi="Arial" w:cs="Arial"/>
          <w:color w:val="1F4E79" w:themeColor="accent1" w:themeShade="80"/>
          <w:sz w:val="20"/>
        </w:rPr>
        <w:t xml:space="preserve"> (</w:t>
      </w:r>
      <w:proofErr w:type="spellStart"/>
      <w:r w:rsidR="00001FE0" w:rsidRPr="004B45ED">
        <w:rPr>
          <w:rFonts w:ascii="Arial" w:hAnsi="Arial" w:cs="Arial"/>
          <w:color w:val="1F4E79" w:themeColor="accent1" w:themeShade="80"/>
          <w:sz w:val="20"/>
        </w:rPr>
        <w:t>Adacel</w:t>
      </w:r>
      <w:proofErr w:type="spellEnd"/>
      <w:r w:rsidR="00001FE0" w:rsidRPr="004B45ED">
        <w:rPr>
          <w:rFonts w:ascii="Arial" w:hAnsi="Arial" w:cs="Arial"/>
          <w:color w:val="1F4E79" w:themeColor="accent1" w:themeShade="80"/>
          <w:sz w:val="20"/>
        </w:rPr>
        <w:sym w:font="Symbol" w:char="F0E2"/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t xml:space="preserve"> &amp; BOOSTRIX</w:t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sym w:font="Symbol" w:char="F0E2"/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t>)</w:t>
      </w:r>
      <w:r w:rsidR="00001FE0" w:rsidRPr="004B45ED">
        <w:rPr>
          <w:rFonts w:ascii="Arial" w:hAnsi="Arial" w:cs="Arial"/>
          <w:color w:val="1F4E79" w:themeColor="accent1" w:themeShade="80"/>
          <w:sz w:val="20"/>
        </w:rPr>
        <w:fldChar w:fldCharType="end"/>
      </w:r>
    </w:p>
    <w:p w:rsidR="00F229F5" w:rsidRPr="00001FE0" w:rsidRDefault="002A4823" w:rsidP="00A96877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rPr>
          <w:rStyle w:val="Hyperlink"/>
          <w:rFonts w:ascii="Arial" w:hAnsi="Arial" w:cs="Arial"/>
          <w:color w:val="1F497D"/>
          <w:sz w:val="20"/>
        </w:rPr>
      </w:pPr>
      <w:hyperlink w:anchor="VAR" w:history="1">
        <w:r w:rsidR="00F229F5" w:rsidRPr="00001FE0">
          <w:rPr>
            <w:rStyle w:val="Hyperlink"/>
            <w:rFonts w:ascii="Arial" w:hAnsi="Arial" w:cs="Arial"/>
            <w:color w:val="1F497D"/>
            <w:sz w:val="20"/>
          </w:rPr>
          <w:t>VAR (VARIVAX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001FE0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  <w:bookmarkStart w:id="0" w:name="_GoBack"/>
      <w:bookmarkEnd w:id="0"/>
    </w:p>
    <w:p w:rsidR="004F6528" w:rsidRPr="004B6A46" w:rsidRDefault="004F6528" w:rsidP="004F6528">
      <w:pPr>
        <w:pStyle w:val="ListParagraph"/>
        <w:numPr>
          <w:ilvl w:val="0"/>
          <w:numId w:val="1"/>
        </w:numPr>
        <w:tabs>
          <w:tab w:val="left" w:pos="1080"/>
          <w:tab w:val="left" w:pos="1170"/>
          <w:tab w:val="right" w:leader="dot" w:pos="9360"/>
        </w:tabs>
        <w:spacing w:after="40"/>
        <w:rPr>
          <w:rStyle w:val="Hyperlink"/>
          <w:rFonts w:ascii="Arial" w:hAnsi="Arial" w:cs="Arial"/>
          <w:color w:val="1F497D"/>
          <w:sz w:val="20"/>
        </w:rPr>
      </w:pPr>
      <w:r>
        <w:rPr>
          <w:rStyle w:val="Hyperlink"/>
          <w:rFonts w:ascii="Arial" w:hAnsi="Arial" w:cs="Arial"/>
          <w:color w:val="1F497D"/>
          <w:sz w:val="20"/>
        </w:rPr>
        <w:t>RZV (SHINGRIX</w:t>
      </w:r>
      <w:r w:rsidRPr="004F6528">
        <w:rPr>
          <w:rStyle w:val="Hyperlink"/>
          <w:rFonts w:ascii="Arial" w:hAnsi="Arial" w:cs="Arial"/>
          <w:color w:val="1F497D"/>
          <w:sz w:val="20"/>
        </w:rPr>
        <w:t>®</w:t>
      </w:r>
      <w:r w:rsidRPr="004F6528">
        <w:rPr>
          <w:rStyle w:val="Hyperlink"/>
          <w:rFonts w:ascii="Arial" w:hAnsi="Arial" w:cs="Arial"/>
          <w:color w:val="1F497D"/>
          <w:sz w:val="20"/>
          <w:vertAlign w:val="superscript"/>
        </w:rPr>
        <w:t xml:space="preserve"> </w:t>
      </w:r>
      <w:r>
        <w:rPr>
          <w:rStyle w:val="Hyperlink"/>
          <w:rFonts w:ascii="Arial" w:hAnsi="Arial" w:cs="Arial"/>
          <w:color w:val="1F497D"/>
          <w:sz w:val="20"/>
        </w:rPr>
        <w:t>)</w:t>
      </w:r>
    </w:p>
    <w:p w:rsidR="00F229F5" w:rsidRPr="004B6A46" w:rsidRDefault="002A4823" w:rsidP="00001FE0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Fonts w:ascii="Arial" w:hAnsi="Arial" w:cs="Arial"/>
          <w:color w:val="1F497D"/>
          <w:sz w:val="20"/>
        </w:rPr>
      </w:pPr>
      <w:hyperlink w:anchor="Zoster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ZOS (ZOSTAVAX</w:t>
        </w:r>
        <w:r w:rsidR="00F229F5" w:rsidRPr="007D1627">
          <w:rPr>
            <w:rStyle w:val="Hyperlink"/>
            <w:rFonts w:ascii="Arial" w:hAnsi="Arial" w:cs="Arial"/>
            <w:color w:val="1F497D"/>
            <w:sz w:val="20"/>
          </w:rPr>
          <w:sym w:font="Symbol" w:char="F0E2"/>
        </w:r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)</w:t>
        </w:r>
      </w:hyperlink>
    </w:p>
    <w:p w:rsidR="00F229F5" w:rsidRPr="004B45ED" w:rsidRDefault="002A4823" w:rsidP="00001FE0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Fonts w:ascii="Arial" w:hAnsi="Arial" w:cs="Arial"/>
          <w:color w:val="1F4E79" w:themeColor="accent1" w:themeShade="80"/>
          <w:sz w:val="20"/>
        </w:rPr>
      </w:pPr>
      <w:hyperlink w:anchor="PerinatalHepB" w:history="1">
        <w:r w:rsidR="00F229F5" w:rsidRPr="004B45ED">
          <w:rPr>
            <w:rStyle w:val="Hyperlink"/>
            <w:rFonts w:ascii="Arial" w:hAnsi="Arial" w:cs="Arial"/>
            <w:color w:val="1F4E79" w:themeColor="accent1" w:themeShade="80"/>
            <w:sz w:val="20"/>
          </w:rPr>
          <w:t>Perinatal Hepatitis B Prevention Program and Case Management Protocol</w:t>
        </w:r>
      </w:hyperlink>
    </w:p>
    <w:p w:rsidR="00F229F5" w:rsidRDefault="002A4823" w:rsidP="004F6528">
      <w:pPr>
        <w:pStyle w:val="ListParagraph"/>
        <w:numPr>
          <w:ilvl w:val="0"/>
          <w:numId w:val="1"/>
        </w:numPr>
        <w:tabs>
          <w:tab w:val="left" w:pos="1080"/>
          <w:tab w:val="right" w:leader="dot" w:pos="9360"/>
        </w:tabs>
        <w:spacing w:after="40"/>
        <w:ind w:left="1080" w:hanging="630"/>
        <w:rPr>
          <w:rStyle w:val="Hyperlink"/>
          <w:rFonts w:ascii="Arial" w:hAnsi="Arial" w:cs="Arial"/>
          <w:color w:val="1F497D"/>
          <w:sz w:val="20"/>
        </w:rPr>
      </w:pPr>
      <w:hyperlink w:anchor="AdverseEvents" w:history="1">
        <w:r w:rsidR="00F229F5" w:rsidRPr="004B6A46">
          <w:rPr>
            <w:rStyle w:val="Hyperlink"/>
            <w:rFonts w:ascii="Arial" w:hAnsi="Arial" w:cs="Arial"/>
            <w:color w:val="1F497D"/>
            <w:sz w:val="20"/>
          </w:rPr>
          <w:t>Adverse Events Following Vaccination</w:t>
        </w:r>
      </w:hyperlink>
    </w:p>
    <w:p w:rsidR="00F229F5" w:rsidRPr="004B6A46" w:rsidRDefault="00F229F5" w:rsidP="00F229F5">
      <w:pPr>
        <w:rPr>
          <w:rFonts w:ascii="Arial" w:hAnsi="Arial" w:cs="Arial"/>
          <w:color w:val="1F497D"/>
          <w:sz w:val="20"/>
        </w:rPr>
      </w:pPr>
      <w:r>
        <w:rPr>
          <w:rStyle w:val="Hyperlink"/>
          <w:rFonts w:ascii="Arial" w:hAnsi="Arial" w:cs="Arial"/>
          <w:color w:val="1F497D"/>
          <w:sz w:val="20"/>
        </w:rPr>
        <w:br w:type="page"/>
      </w:r>
    </w:p>
    <w:p w:rsidR="00F229F5" w:rsidRPr="0031277F" w:rsidRDefault="00F229F5" w:rsidP="00F229F5">
      <w:pPr>
        <w:rPr>
          <w:rFonts w:ascii="Arial" w:hAnsi="Arial" w:cs="Arial"/>
          <w:color w:val="1F497D"/>
          <w:sz w:val="20"/>
        </w:rPr>
      </w:pPr>
    </w:p>
    <w:p w:rsidR="00F229F5" w:rsidRDefault="00F229F5" w:rsidP="00F229F5">
      <w:pPr>
        <w:pStyle w:val="Default"/>
        <w:rPr>
          <w:rFonts w:ascii="Arial" w:hAnsi="Arial" w:cs="Arial"/>
          <w:sz w:val="20"/>
          <w:szCs w:val="20"/>
        </w:rPr>
      </w:pPr>
      <w:r w:rsidRPr="00010FA1">
        <w:rPr>
          <w:rFonts w:ascii="Arial" w:hAnsi="Arial" w:cs="Arial"/>
          <w:b/>
          <w:sz w:val="20"/>
        </w:rPr>
        <w:t>†</w:t>
      </w:r>
      <w:r>
        <w:rPr>
          <w:rFonts w:ascii="Arial" w:hAnsi="Arial" w:cs="Arial"/>
          <w:sz w:val="20"/>
          <w:szCs w:val="20"/>
        </w:rPr>
        <w:t>S</w:t>
      </w:r>
      <w:r w:rsidRPr="0068399E">
        <w:rPr>
          <w:rFonts w:ascii="Arial" w:hAnsi="Arial" w:cs="Arial"/>
          <w:sz w:val="20"/>
          <w:szCs w:val="20"/>
        </w:rPr>
        <w:t>everal manufacturers; for complete listing, see:</w:t>
      </w:r>
      <w:r>
        <w:rPr>
          <w:rFonts w:ascii="Arial" w:hAnsi="Arial" w:cs="Arial"/>
          <w:sz w:val="20"/>
          <w:szCs w:val="20"/>
        </w:rPr>
        <w:br/>
        <w:t xml:space="preserve">  </w:t>
      </w:r>
      <w:hyperlink r:id="rId7" w:history="1">
        <w:r w:rsidRPr="002F441E">
          <w:rPr>
            <w:rStyle w:val="Hyperlink"/>
            <w:rFonts w:ascii="Arial" w:hAnsi="Arial" w:cs="Arial"/>
            <w:sz w:val="20"/>
            <w:szCs w:val="20"/>
          </w:rPr>
          <w:t>https://www.cdc.gov/vaccines/pubs/pinkbook/downloads/appendices/B/us-vaccines.pdf</w:t>
        </w:r>
      </w:hyperlink>
      <w:r w:rsidRPr="00683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</w:t>
      </w:r>
      <w:hyperlink r:id="rId8" w:history="1">
        <w:r w:rsidRPr="002F441E">
          <w:rPr>
            <w:rStyle w:val="Hyperlink"/>
            <w:rFonts w:ascii="Arial" w:hAnsi="Arial" w:cs="Arial"/>
            <w:sz w:val="20"/>
            <w:szCs w:val="20"/>
          </w:rPr>
          <w:t>https://www.cdc.gov/vaccines/terms/USVaccines.html</w:t>
        </w:r>
      </w:hyperlink>
      <w:r w:rsidRPr="0068399E">
        <w:rPr>
          <w:rFonts w:ascii="Arial" w:hAnsi="Arial" w:cs="Arial"/>
          <w:sz w:val="20"/>
          <w:szCs w:val="20"/>
        </w:rPr>
        <w:t xml:space="preserve"> </w:t>
      </w:r>
    </w:p>
    <w:p w:rsidR="00F229F5" w:rsidRDefault="00F229F5" w:rsidP="00F229F5">
      <w:pPr>
        <w:pStyle w:val="Default"/>
        <w:ind w:left="144" w:hanging="144"/>
        <w:rPr>
          <w:rFonts w:ascii="Arial" w:hAnsi="Arial" w:cs="Arial"/>
          <w:sz w:val="20"/>
          <w:szCs w:val="20"/>
        </w:rPr>
      </w:pPr>
    </w:p>
    <w:p w:rsidR="00F229F5" w:rsidRDefault="00F229F5" w:rsidP="00F229F5">
      <w:pPr>
        <w:pStyle w:val="Default"/>
        <w:ind w:left="115" w:hanging="115"/>
        <w:rPr>
          <w:rFonts w:ascii="Arial" w:hAnsi="Arial" w:cs="Arial"/>
          <w:sz w:val="20"/>
          <w:szCs w:val="20"/>
        </w:rPr>
      </w:pPr>
      <w:r w:rsidRPr="0068399E">
        <w:rPr>
          <w:rFonts w:ascii="Arial" w:hAnsi="Arial" w:cs="Arial"/>
          <w:b/>
          <w:sz w:val="20"/>
          <w:szCs w:val="20"/>
        </w:rPr>
        <w:sym w:font="Symbol" w:char="F02A"/>
      </w:r>
      <w:r>
        <w:rPr>
          <w:rFonts w:ascii="Arial" w:hAnsi="Arial" w:cs="Arial"/>
          <w:sz w:val="20"/>
          <w:szCs w:val="20"/>
        </w:rPr>
        <w:t>D</w:t>
      </w:r>
      <w:r w:rsidRPr="0068399E">
        <w:rPr>
          <w:rFonts w:ascii="Arial" w:hAnsi="Arial" w:cs="Arial"/>
          <w:sz w:val="20"/>
          <w:szCs w:val="20"/>
        </w:rPr>
        <w:t>ash (</w:t>
      </w:r>
      <w:r w:rsidRPr="0068399E">
        <w:rPr>
          <w:rFonts w:ascii="Arial" w:hAnsi="Arial" w:cs="Arial"/>
          <w:b/>
          <w:sz w:val="20"/>
          <w:szCs w:val="20"/>
        </w:rPr>
        <w:t>-</w:t>
      </w:r>
      <w:r w:rsidRPr="0068399E">
        <w:rPr>
          <w:rFonts w:ascii="Arial" w:hAnsi="Arial" w:cs="Arial"/>
          <w:sz w:val="20"/>
          <w:szCs w:val="20"/>
        </w:rPr>
        <w:t xml:space="preserve">) indicates: products that </w:t>
      </w:r>
      <w:proofErr w:type="gramStart"/>
      <w:r w:rsidRPr="0068399E">
        <w:rPr>
          <w:rFonts w:ascii="Arial" w:hAnsi="Arial" w:cs="Arial"/>
          <w:sz w:val="20"/>
          <w:szCs w:val="20"/>
        </w:rPr>
        <w:t>are supplied</w:t>
      </w:r>
      <w:proofErr w:type="gramEnd"/>
      <w:r w:rsidRPr="0068399E">
        <w:rPr>
          <w:rFonts w:ascii="Arial" w:hAnsi="Arial" w:cs="Arial"/>
          <w:sz w:val="20"/>
          <w:szCs w:val="20"/>
        </w:rPr>
        <w:t xml:space="preserve"> in their final form by the manufacturer and do not require mixing or reconstitution by user; slash (/) indicates: products that are mixed or reconstituted by user.</w:t>
      </w:r>
    </w:p>
    <w:p w:rsidR="00F229F5" w:rsidRPr="0068399E" w:rsidRDefault="00F229F5" w:rsidP="00F229F5">
      <w:pPr>
        <w:pStyle w:val="Default"/>
        <w:rPr>
          <w:rFonts w:ascii="Arial" w:hAnsi="Arial" w:cs="Arial"/>
          <w:sz w:val="20"/>
          <w:szCs w:val="20"/>
        </w:rPr>
      </w:pPr>
    </w:p>
    <w:p w:rsidR="00F229F5" w:rsidRPr="00DC0AB7" w:rsidRDefault="00F229F5" w:rsidP="00F229F5">
      <w:pPr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sz w:val="20"/>
        </w:rPr>
        <w:t>These</w:t>
      </w:r>
      <w:r w:rsidRPr="0068399E">
        <w:rPr>
          <w:rFonts w:ascii="Arial" w:hAnsi="Arial" w:cs="Arial"/>
          <w:sz w:val="20"/>
        </w:rPr>
        <w:t xml:space="preserve"> protocols </w:t>
      </w:r>
      <w:proofErr w:type="gramStart"/>
      <w:r w:rsidRPr="0068399E">
        <w:rPr>
          <w:rFonts w:ascii="Arial" w:hAnsi="Arial" w:cs="Arial"/>
          <w:sz w:val="20"/>
        </w:rPr>
        <w:t>are based</w:t>
      </w:r>
      <w:proofErr w:type="gramEnd"/>
      <w:r w:rsidRPr="0068399E">
        <w:rPr>
          <w:rFonts w:ascii="Arial" w:hAnsi="Arial" w:cs="Arial"/>
          <w:sz w:val="20"/>
        </w:rPr>
        <w:t xml:space="preserve"> on the </w:t>
      </w:r>
      <w:r>
        <w:rPr>
          <w:rFonts w:ascii="Arial" w:hAnsi="Arial" w:cs="Arial"/>
          <w:sz w:val="20"/>
        </w:rPr>
        <w:t xml:space="preserve">recommendations of the </w:t>
      </w:r>
      <w:r w:rsidRPr="0068399E">
        <w:rPr>
          <w:rFonts w:ascii="Arial" w:hAnsi="Arial" w:cs="Arial"/>
          <w:sz w:val="20"/>
        </w:rPr>
        <w:t xml:space="preserve">Advisory Committee for Immunization Practices (ACIP), </w:t>
      </w:r>
      <w:hyperlink r:id="rId9" w:history="1">
        <w:r w:rsidRPr="0068399E">
          <w:rPr>
            <w:rStyle w:val="Hyperlink"/>
            <w:rFonts w:ascii="Arial" w:hAnsi="Arial" w:cs="Arial"/>
            <w:sz w:val="20"/>
          </w:rPr>
          <w:t>http://www.cdc.gov/vaccines/hcp/acip-recs/index.html</w:t>
        </w:r>
      </w:hyperlink>
    </w:p>
    <w:p w:rsidR="00F229F5" w:rsidRPr="00DC0AB7" w:rsidRDefault="00F229F5" w:rsidP="00F229F5">
      <w:pPr>
        <w:rPr>
          <w:rFonts w:ascii="Arial" w:hAnsi="Arial" w:cs="Arial"/>
          <w:color w:val="1F497D"/>
          <w:sz w:val="18"/>
          <w:szCs w:val="18"/>
        </w:rPr>
      </w:pPr>
    </w:p>
    <w:p w:rsidR="00F25F63" w:rsidRDefault="00F25F63"/>
    <w:sectPr w:rsidR="00F25F6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23" w:rsidRDefault="002A4823" w:rsidP="00F229F5">
      <w:r>
        <w:separator/>
      </w:r>
    </w:p>
  </w:endnote>
  <w:endnote w:type="continuationSeparator" w:id="0">
    <w:p w:rsidR="002A4823" w:rsidRDefault="002A4823" w:rsidP="00F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9F5" w:rsidRDefault="00F229F5" w:rsidP="00F229F5">
    <w:pPr>
      <w:pStyle w:val="Footer"/>
      <w:jc w:val="center"/>
      <w:rPr>
        <w:color w:val="auto"/>
        <w:sz w:val="16"/>
        <w:szCs w:val="16"/>
      </w:rPr>
    </w:pPr>
    <w:r w:rsidRPr="00F229F5">
      <w:rPr>
        <w:color w:val="auto"/>
        <w:sz w:val="16"/>
        <w:szCs w:val="16"/>
      </w:rPr>
      <w:t xml:space="preserve">Page </w:t>
    </w:r>
    <w:r w:rsidRPr="00F229F5">
      <w:rPr>
        <w:color w:val="auto"/>
        <w:sz w:val="16"/>
        <w:szCs w:val="16"/>
      </w:rPr>
      <w:fldChar w:fldCharType="begin"/>
    </w:r>
    <w:r w:rsidRPr="00F229F5">
      <w:rPr>
        <w:color w:val="auto"/>
        <w:sz w:val="16"/>
        <w:szCs w:val="16"/>
      </w:rPr>
      <w:instrText xml:space="preserve"> PAGE  \* Arabic  \* MERGEFORMAT </w:instrText>
    </w:r>
    <w:r w:rsidRPr="00F229F5">
      <w:rPr>
        <w:color w:val="auto"/>
        <w:sz w:val="16"/>
        <w:szCs w:val="16"/>
      </w:rPr>
      <w:fldChar w:fldCharType="separate"/>
    </w:r>
    <w:r w:rsidR="004B45ED">
      <w:rPr>
        <w:noProof/>
        <w:color w:val="auto"/>
        <w:sz w:val="16"/>
        <w:szCs w:val="16"/>
      </w:rPr>
      <w:t>1</w:t>
    </w:r>
    <w:r w:rsidRPr="00F229F5">
      <w:rPr>
        <w:color w:val="auto"/>
        <w:sz w:val="16"/>
        <w:szCs w:val="16"/>
      </w:rPr>
      <w:fldChar w:fldCharType="end"/>
    </w:r>
    <w:r w:rsidRPr="00F229F5">
      <w:rPr>
        <w:color w:val="auto"/>
        <w:sz w:val="16"/>
        <w:szCs w:val="16"/>
      </w:rPr>
      <w:t xml:space="preserve"> of </w:t>
    </w:r>
    <w:r w:rsidRPr="00F229F5">
      <w:rPr>
        <w:color w:val="auto"/>
        <w:sz w:val="16"/>
        <w:szCs w:val="16"/>
      </w:rPr>
      <w:fldChar w:fldCharType="begin"/>
    </w:r>
    <w:r w:rsidRPr="00F229F5">
      <w:rPr>
        <w:color w:val="auto"/>
        <w:sz w:val="16"/>
        <w:szCs w:val="16"/>
      </w:rPr>
      <w:instrText xml:space="preserve"> NUMPAGES  \* Arabic  \* MERGEFORMAT </w:instrText>
    </w:r>
    <w:r w:rsidRPr="00F229F5">
      <w:rPr>
        <w:color w:val="auto"/>
        <w:sz w:val="16"/>
        <w:szCs w:val="16"/>
      </w:rPr>
      <w:fldChar w:fldCharType="separate"/>
    </w:r>
    <w:r w:rsidR="004B45ED">
      <w:rPr>
        <w:noProof/>
        <w:color w:val="auto"/>
        <w:sz w:val="16"/>
        <w:szCs w:val="16"/>
      </w:rPr>
      <w:t>2</w:t>
    </w:r>
    <w:r w:rsidRPr="00F229F5">
      <w:rPr>
        <w:color w:val="auto"/>
        <w:sz w:val="16"/>
        <w:szCs w:val="16"/>
      </w:rPr>
      <w:fldChar w:fldCharType="end"/>
    </w:r>
  </w:p>
  <w:p w:rsidR="00A226BF" w:rsidRDefault="00A226BF" w:rsidP="00F229F5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F229F5" w:rsidRDefault="00F229F5" w:rsidP="00F229F5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Table of Contents</w:t>
    </w:r>
  </w:p>
  <w:p w:rsidR="00F229F5" w:rsidRPr="00F229F5" w:rsidRDefault="00F229F5" w:rsidP="00F229F5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F229F5" w:rsidRDefault="00F22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23" w:rsidRDefault="002A4823" w:rsidP="00F229F5">
      <w:r>
        <w:separator/>
      </w:r>
    </w:p>
  </w:footnote>
  <w:footnote w:type="continuationSeparator" w:id="0">
    <w:p w:rsidR="002A4823" w:rsidRDefault="002A4823" w:rsidP="00F2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167F"/>
    <w:multiLevelType w:val="hybridMultilevel"/>
    <w:tmpl w:val="174E87C8"/>
    <w:lvl w:ilvl="0" w:tplc="042C8B8C">
      <w:start w:val="1"/>
      <w:numFmt w:val="upp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25"/>
    <w:rsid w:val="00001FE0"/>
    <w:rsid w:val="00010C35"/>
    <w:rsid w:val="000A5383"/>
    <w:rsid w:val="001324A4"/>
    <w:rsid w:val="002A4823"/>
    <w:rsid w:val="002C021E"/>
    <w:rsid w:val="004B45ED"/>
    <w:rsid w:val="004F6528"/>
    <w:rsid w:val="00871D47"/>
    <w:rsid w:val="00872525"/>
    <w:rsid w:val="00A226BF"/>
    <w:rsid w:val="00A5221B"/>
    <w:rsid w:val="00F229F5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8B3FC-DF02-4006-8751-ECE8F8CA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229F5"/>
    <w:rPr>
      <w:rFonts w:cs="Times New Roman"/>
      <w:color w:val="0000FF"/>
      <w:u w:val="single"/>
    </w:rPr>
  </w:style>
  <w:style w:type="paragraph" w:customStyle="1" w:styleId="Default">
    <w:name w:val="Default"/>
    <w:rsid w:val="00F22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2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F5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9F5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programs/vfc/downloads/resolutions/02-13-1-pneumo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dc.gov/vaccines/programs/vfc/providers/resolutio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aers.hhs.gov/esub/step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D286E7A8-8ED3-4AE3-B2B5-A5118FB7EA7F}"/>
</file>

<file path=customXml/itemProps2.xml><?xml version="1.0" encoding="utf-8"?>
<ds:datastoreItem xmlns:ds="http://schemas.openxmlformats.org/officeDocument/2006/customXml" ds:itemID="{F7E9FC7E-6A71-45FA-A9B8-D29CB4200DFD}"/>
</file>

<file path=customXml/itemProps3.xml><?xml version="1.0" encoding="utf-8"?>
<ds:datastoreItem xmlns:ds="http://schemas.openxmlformats.org/officeDocument/2006/customXml" ds:itemID="{EEA1C82F-3267-4075-B14A-49C2BD097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392</Words>
  <Characters>2241</Characters>
  <Application>Microsoft Office Word</Application>
  <DocSecurity>0</DocSecurity>
  <Lines>18</Lines>
  <Paragraphs>5</Paragraphs>
  <ScaleCrop>false</ScaleCrop>
  <Company>Commonwealth of Kentucky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TABLE OF CONTENTS - 2018</dc:title>
  <dc:subject/>
  <dc:creator>Cunningham, Troi (CHFS PH EPI)</dc:creator>
  <cp:keywords/>
  <dc:description/>
  <cp:lastModifiedBy>Cunningham, Troi (CHFS PH EPI)</cp:lastModifiedBy>
  <cp:revision>8</cp:revision>
  <dcterms:created xsi:type="dcterms:W3CDTF">2018-06-29T15:00:00Z</dcterms:created>
  <dcterms:modified xsi:type="dcterms:W3CDTF">2018-06-29T19:55:00Z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