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CC" w:rsidRPr="002D3E3D" w:rsidRDefault="00A85CCC" w:rsidP="00A85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Recombinant </w:t>
      </w:r>
      <w:r w:rsidRPr="002D3E3D">
        <w:rPr>
          <w:b/>
          <w:sz w:val="28"/>
          <w:szCs w:val="28"/>
        </w:rPr>
        <w:t>Zoster</w:t>
      </w:r>
      <w:r w:rsidRPr="002D3E3D">
        <w:rPr>
          <w:b/>
          <w:bCs/>
          <w:sz w:val="28"/>
          <w:szCs w:val="28"/>
        </w:rPr>
        <w:t xml:space="preserve"> </w:t>
      </w:r>
      <w:r w:rsidRPr="002D3E3D">
        <w:rPr>
          <w:b/>
          <w:sz w:val="28"/>
          <w:szCs w:val="28"/>
        </w:rPr>
        <w:t xml:space="preserve">Vaccine </w:t>
      </w:r>
      <w:r>
        <w:rPr>
          <w:b/>
          <w:bCs/>
          <w:sz w:val="28"/>
          <w:szCs w:val="28"/>
        </w:rPr>
        <w:t>(RZV)</w:t>
      </w:r>
      <w:r w:rsidRPr="002D3E3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SHINGRIX</w:t>
      </w:r>
      <w:r w:rsidRPr="002D3E3D">
        <w:rPr>
          <w:b/>
          <w:bCs/>
          <w:sz w:val="28"/>
          <w:szCs w:val="28"/>
          <w:vertAlign w:val="superscript"/>
        </w:rPr>
        <w:t>®</w:t>
      </w:r>
    </w:p>
    <w:p w:rsidR="00A85CCC" w:rsidRDefault="00A85CCC" w:rsidP="00A85CCC">
      <w:pPr>
        <w:widowControl w:val="0"/>
      </w:pPr>
    </w:p>
    <w:p w:rsidR="00A85CCC" w:rsidRDefault="00A85CCC" w:rsidP="00A85CCC">
      <w:pPr>
        <w:widowControl w:val="0"/>
      </w:pPr>
    </w:p>
    <w:p w:rsidR="00A85CCC" w:rsidRDefault="00A85CCC" w:rsidP="00A85CCC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A85CCC" w:rsidRPr="00906858" w:rsidRDefault="00A85CCC" w:rsidP="00A85CCC">
      <w:pPr>
        <w:autoSpaceDE w:val="0"/>
        <w:autoSpaceDN w:val="0"/>
        <w:adjustRightInd w:val="0"/>
      </w:pPr>
      <w:r w:rsidRPr="00906858">
        <w:t>Screen all patients for precautions and contraindications to immunization.</w:t>
      </w:r>
    </w:p>
    <w:p w:rsidR="00A85CCC" w:rsidRPr="002D3E3D" w:rsidRDefault="00A85CCC" w:rsidP="00A85CCC">
      <w:pPr>
        <w:widowControl w:val="0"/>
        <w:rPr>
          <w:b/>
          <w:bCs/>
        </w:rPr>
      </w:pPr>
    </w:p>
    <w:p w:rsidR="00A85CCC" w:rsidRPr="002D3E3D" w:rsidRDefault="00A85CCC" w:rsidP="00A85CCC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Recommended Schedule:</w:t>
      </w:r>
    </w:p>
    <w:p w:rsidR="00A85CCC" w:rsidRDefault="00A85CCC" w:rsidP="00A85CCC">
      <w:pPr>
        <w:autoSpaceDE w:val="0"/>
        <w:autoSpaceDN w:val="0"/>
        <w:adjustRightInd w:val="0"/>
        <w:spacing w:after="120"/>
        <w:rPr>
          <w:bCs/>
        </w:rPr>
      </w:pPr>
      <w:proofErr w:type="gramStart"/>
      <w:r>
        <w:rPr>
          <w:bCs/>
        </w:rPr>
        <w:t xml:space="preserve">Recombinant zoster </w:t>
      </w:r>
      <w:r w:rsidRPr="00B66CD6">
        <w:rPr>
          <w:bCs/>
        </w:rPr>
        <w:t>vaccine is recommended by the Advisory Committee on Immunization Practi</w:t>
      </w:r>
      <w:r>
        <w:rPr>
          <w:bCs/>
        </w:rPr>
        <w:t>ces (ACIP)</w:t>
      </w:r>
      <w:proofErr w:type="gramEnd"/>
      <w:r>
        <w:rPr>
          <w:bCs/>
        </w:rPr>
        <w:t xml:space="preserve"> for these age groups</w:t>
      </w:r>
      <w:r w:rsidRPr="002D3E3D">
        <w:rPr>
          <w:bCs/>
        </w:rPr>
        <w:t xml:space="preserve">:  </w:t>
      </w:r>
    </w:p>
    <w:p w:rsidR="00A85CCC" w:rsidRPr="002D3E3D" w:rsidRDefault="00A85CCC" w:rsidP="00A85CCC">
      <w:pPr>
        <w:autoSpaceDE w:val="0"/>
        <w:autoSpaceDN w:val="0"/>
        <w:adjustRightInd w:val="0"/>
        <w:rPr>
          <w:bCs/>
        </w:rPr>
      </w:pPr>
    </w:p>
    <w:p w:rsidR="00A85CCC" w:rsidRDefault="00A85CCC" w:rsidP="00A85CCC">
      <w:pPr>
        <w:numPr>
          <w:ilvl w:val="0"/>
          <w:numId w:val="2"/>
        </w:numPr>
        <w:spacing w:after="120"/>
        <w:ind w:left="778"/>
        <w:rPr>
          <w:szCs w:val="24"/>
        </w:rPr>
      </w:pPr>
      <w:r>
        <w:rPr>
          <w:szCs w:val="24"/>
        </w:rPr>
        <w:t>Adults Aged 50 Years and Older</w:t>
      </w:r>
    </w:p>
    <w:p w:rsidR="00A85CCC" w:rsidRPr="007D3DA5" w:rsidRDefault="00A85CCC" w:rsidP="00A85CCC">
      <w:pPr>
        <w:numPr>
          <w:ilvl w:val="1"/>
          <w:numId w:val="2"/>
        </w:numPr>
        <w:rPr>
          <w:szCs w:val="24"/>
        </w:rPr>
      </w:pP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(RZV)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is indicated</w:t>
      </w:r>
      <w:proofErr w:type="gramEnd"/>
      <w:r w:rsidRPr="002D3E3D">
        <w:rPr>
          <w:szCs w:val="24"/>
        </w:rPr>
        <w:t xml:space="preserve"> for prevention of herpes zoster (shingles) </w:t>
      </w:r>
      <w:r>
        <w:rPr>
          <w:szCs w:val="24"/>
        </w:rPr>
        <w:t>and related complications for</w:t>
      </w:r>
      <w:r w:rsidRPr="002D3E3D">
        <w:rPr>
          <w:szCs w:val="24"/>
        </w:rPr>
        <w:t xml:space="preserve"> </w:t>
      </w:r>
      <w:r>
        <w:rPr>
          <w:szCs w:val="24"/>
        </w:rPr>
        <w:t>immunocompetent adults</w:t>
      </w:r>
      <w:r w:rsidRPr="002D3E3D">
        <w:rPr>
          <w:szCs w:val="24"/>
        </w:rPr>
        <w:t xml:space="preserve"> </w:t>
      </w:r>
      <w:r>
        <w:rPr>
          <w:szCs w:val="24"/>
        </w:rPr>
        <w:t xml:space="preserve">aged </w:t>
      </w:r>
      <w:r w:rsidRPr="007F5AD6">
        <w:rPr>
          <w:szCs w:val="24"/>
        </w:rPr>
        <w:t xml:space="preserve">50 </w:t>
      </w:r>
      <w:r w:rsidRPr="007D3DA5">
        <w:rPr>
          <w:szCs w:val="24"/>
        </w:rPr>
        <w:t xml:space="preserve">years and older. </w:t>
      </w:r>
    </w:p>
    <w:p w:rsidR="00A85CCC" w:rsidRPr="00613391" w:rsidRDefault="00A85CCC" w:rsidP="00A85CCC">
      <w:pPr>
        <w:pStyle w:val="ListParagraph"/>
        <w:numPr>
          <w:ilvl w:val="1"/>
          <w:numId w:val="2"/>
        </w:numPr>
        <w:contextualSpacing w:val="0"/>
        <w:rPr>
          <w:szCs w:val="24"/>
        </w:rPr>
      </w:pPr>
      <w:r w:rsidRPr="00C55B4C">
        <w:rPr>
          <w:szCs w:val="24"/>
        </w:rPr>
        <w:t xml:space="preserve">RZV vaccine is recommended </w:t>
      </w:r>
      <w:r w:rsidRPr="00317DD4">
        <w:rPr>
          <w:szCs w:val="24"/>
        </w:rPr>
        <w:t>(per ACIP) for the prevention of herpes zoster (shingles) and related complications for immunocompetent</w:t>
      </w:r>
      <w:r>
        <w:rPr>
          <w:szCs w:val="24"/>
        </w:rPr>
        <w:t xml:space="preserve"> </w:t>
      </w:r>
      <w:r w:rsidRPr="00317DD4">
        <w:rPr>
          <w:szCs w:val="24"/>
        </w:rPr>
        <w:t>adults aged 50 years of age and older who previously received zoster vaccine live, ZVL (ZOSTAVAX</w:t>
      </w:r>
      <w:r>
        <w:rPr>
          <w:szCs w:val="24"/>
          <w:vertAlign w:val="superscript"/>
        </w:rPr>
        <w:t>®</w:t>
      </w:r>
      <w:bookmarkStart w:id="0" w:name="_GoBack"/>
      <w:bookmarkEnd w:id="0"/>
      <w:r w:rsidRPr="00317DD4">
        <w:rPr>
          <w:szCs w:val="24"/>
        </w:rPr>
        <w:t xml:space="preserve">).  </w:t>
      </w:r>
      <w:r w:rsidRPr="00C55B4C">
        <w:rPr>
          <w:szCs w:val="24"/>
        </w:rPr>
        <w:t xml:space="preserve">* RZV vaccine </w:t>
      </w:r>
      <w:proofErr w:type="gramStart"/>
      <w:r w:rsidRPr="00C55B4C">
        <w:rPr>
          <w:szCs w:val="24"/>
        </w:rPr>
        <w:t>should not be given</w:t>
      </w:r>
      <w:proofErr w:type="gramEnd"/>
      <w:r w:rsidRPr="00C55B4C">
        <w:rPr>
          <w:szCs w:val="24"/>
        </w:rPr>
        <w:t xml:space="preserve"> less than 2 months after receipt of </w:t>
      </w:r>
      <w:r w:rsidRPr="00613391">
        <w:rPr>
          <w:szCs w:val="24"/>
        </w:rPr>
        <w:t>ZVL.</w:t>
      </w:r>
    </w:p>
    <w:p w:rsidR="00A85CCC" w:rsidRDefault="00A85CCC" w:rsidP="00A85CCC">
      <w:pPr>
        <w:pStyle w:val="ListParagraph"/>
        <w:numPr>
          <w:ilvl w:val="1"/>
          <w:numId w:val="2"/>
        </w:numPr>
        <w:contextualSpacing w:val="0"/>
        <w:rPr>
          <w:szCs w:val="24"/>
        </w:rPr>
      </w:pPr>
      <w:r>
        <w:rPr>
          <w:szCs w:val="24"/>
        </w:rPr>
        <w:t>RZV vaccine is preferred (per ACIP) over ZVL vaccine for the prevention of herpes zoster and related complications in adults aged 50 years and older.</w:t>
      </w:r>
    </w:p>
    <w:p w:rsidR="00A85CCC" w:rsidRDefault="00A85CCC" w:rsidP="00A85CCC">
      <w:pPr>
        <w:pStyle w:val="ListParagraph"/>
        <w:numPr>
          <w:ilvl w:val="1"/>
          <w:numId w:val="2"/>
        </w:numPr>
        <w:contextualSpacing w:val="0"/>
        <w:rPr>
          <w:szCs w:val="24"/>
        </w:rPr>
      </w:pPr>
      <w:r>
        <w:rPr>
          <w:szCs w:val="24"/>
        </w:rPr>
        <w:t>RZV vaccine is recommended (per ACIP) in adults aged 50 years and older with chronic medical conditions (e.g., chronic renal failure, diabetes mellitus, rheumatoid arthritis, and chronic pulmonary disease).</w:t>
      </w:r>
    </w:p>
    <w:p w:rsidR="00A85CCC" w:rsidRDefault="00A85CCC" w:rsidP="00A85CCC">
      <w:pPr>
        <w:pStyle w:val="ListParagraph"/>
        <w:numPr>
          <w:ilvl w:val="1"/>
          <w:numId w:val="2"/>
        </w:numPr>
        <w:contextualSpacing w:val="0"/>
        <w:rPr>
          <w:szCs w:val="24"/>
        </w:rPr>
      </w:pPr>
      <w:r w:rsidRPr="00C55B4C">
        <w:rPr>
          <w:szCs w:val="24"/>
        </w:rPr>
        <w:t xml:space="preserve">RZV vaccine is recommended (per ACIP) in adults </w:t>
      </w:r>
      <w:r w:rsidRPr="00317DD4">
        <w:rPr>
          <w:szCs w:val="24"/>
        </w:rPr>
        <w:t>aged 50 years and older taking low-dose immunosuppressive therapy (e.g.</w:t>
      </w:r>
      <w:r w:rsidRPr="00613391">
        <w:rPr>
          <w:szCs w:val="24"/>
        </w:rPr>
        <w:t>, less than 20 mg/day of prednisone or equivalent or using inhaled or topical steroids) and persons anticipating immunosuppression</w:t>
      </w:r>
      <w:r>
        <w:rPr>
          <w:szCs w:val="24"/>
        </w:rPr>
        <w:t xml:space="preserve"> </w:t>
      </w:r>
      <w:r w:rsidRPr="00C55B4C">
        <w:rPr>
          <w:szCs w:val="24"/>
        </w:rPr>
        <w:t>or who have recovered from an immunocompromising illness.</w:t>
      </w:r>
    </w:p>
    <w:p w:rsidR="00A85CCC" w:rsidRDefault="00A85CCC" w:rsidP="00A85CCC">
      <w:pPr>
        <w:pStyle w:val="ListParagraph"/>
        <w:numPr>
          <w:ilvl w:val="0"/>
          <w:numId w:val="2"/>
        </w:numPr>
        <w:contextualSpacing w:val="0"/>
        <w:rPr>
          <w:szCs w:val="24"/>
        </w:rPr>
      </w:pPr>
      <w:r>
        <w:rPr>
          <w:szCs w:val="24"/>
        </w:rPr>
        <w:t>Adults Aged 60 Years and Older -</w:t>
      </w:r>
      <w:r w:rsidRPr="00B8483D">
        <w:rPr>
          <w:szCs w:val="24"/>
        </w:rPr>
        <w:t>administer either RZV or ZVL (RZV is preferred)</w:t>
      </w:r>
      <w:r>
        <w:rPr>
          <w:szCs w:val="24"/>
        </w:rPr>
        <w:t xml:space="preserve">.   </w:t>
      </w:r>
    </w:p>
    <w:p w:rsidR="00A85CCC" w:rsidRPr="00613391" w:rsidRDefault="00A85CCC" w:rsidP="00A85CCC">
      <w:pPr>
        <w:pStyle w:val="ListParagraph"/>
        <w:ind w:left="780"/>
        <w:contextualSpacing w:val="0"/>
        <w:rPr>
          <w:szCs w:val="24"/>
        </w:rPr>
      </w:pPr>
    </w:p>
    <w:p w:rsidR="00A85CCC" w:rsidRPr="002D3E3D" w:rsidRDefault="00A85CCC" w:rsidP="00A85CCC">
      <w:pPr>
        <w:widowControl w:val="0"/>
        <w:tabs>
          <w:tab w:val="left" w:pos="1020"/>
        </w:tabs>
      </w:pPr>
    </w:p>
    <w:p w:rsidR="00A85CCC" w:rsidRPr="002D3E3D" w:rsidRDefault="00A85CCC" w:rsidP="00A85CCC">
      <w:pPr>
        <w:keepNext/>
        <w:keepLines/>
        <w:autoSpaceDE w:val="0"/>
        <w:autoSpaceDN w:val="0"/>
        <w:adjustRightInd w:val="0"/>
        <w:spacing w:after="60"/>
        <w:rPr>
          <w:u w:val="single"/>
        </w:rPr>
      </w:pPr>
      <w:r w:rsidRPr="002D3E3D">
        <w:rPr>
          <w:b/>
          <w:u w:val="single"/>
        </w:rPr>
        <w:t xml:space="preserve">Dosage and Route </w:t>
      </w:r>
    </w:p>
    <w:p w:rsidR="00A85CCC" w:rsidRPr="002D3E3D" w:rsidRDefault="00A85CCC" w:rsidP="00A85CCC">
      <w:pPr>
        <w:autoSpaceDE w:val="0"/>
        <w:autoSpaceDN w:val="0"/>
        <w:adjustRightInd w:val="0"/>
        <w:rPr>
          <w:sz w:val="20"/>
        </w:rPr>
      </w:pPr>
      <w:r w:rsidRPr="002D3E3D">
        <w:rPr>
          <w:rFonts w:ascii="Times-Roman" w:hAnsi="Times-Roman"/>
          <w:bCs/>
          <w:szCs w:val="24"/>
        </w:rPr>
        <w:t>Administer 0.</w:t>
      </w:r>
      <w:r>
        <w:rPr>
          <w:rFonts w:ascii="Times-Roman" w:hAnsi="Times-Roman"/>
          <w:bCs/>
          <w:szCs w:val="24"/>
        </w:rPr>
        <w:t>5</w:t>
      </w:r>
      <w:r w:rsidRPr="002D3E3D">
        <w:rPr>
          <w:rFonts w:ascii="Times-Roman" w:hAnsi="Times-Roman"/>
          <w:bCs/>
          <w:szCs w:val="24"/>
        </w:rPr>
        <w:t xml:space="preserve"> mL of reconstituted </w:t>
      </w:r>
      <w:r>
        <w:rPr>
          <w:rFonts w:ascii="Times-Roman" w:hAnsi="Times-Roman"/>
          <w:bCs/>
          <w:szCs w:val="24"/>
        </w:rPr>
        <w:t>RZV</w:t>
      </w:r>
      <w:r w:rsidRPr="002D3E3D">
        <w:rPr>
          <w:rFonts w:ascii="Times-Roman" w:hAnsi="Times-Roman"/>
          <w:bCs/>
          <w:szCs w:val="24"/>
        </w:rPr>
        <w:t xml:space="preserve"> </w:t>
      </w:r>
      <w:r>
        <w:rPr>
          <w:rFonts w:ascii="Times-Roman" w:hAnsi="Times-Roman"/>
          <w:bCs/>
          <w:szCs w:val="24"/>
        </w:rPr>
        <w:t xml:space="preserve">intramuscularly (IM) </w:t>
      </w:r>
      <w:r w:rsidRPr="002D3E3D">
        <w:rPr>
          <w:szCs w:val="24"/>
        </w:rPr>
        <w:t>(see</w:t>
      </w:r>
      <w:r>
        <w:rPr>
          <w:szCs w:val="24"/>
        </w:rPr>
        <w:t> </w:t>
      </w:r>
      <w:r w:rsidRPr="002D3E3D">
        <w:rPr>
          <w:szCs w:val="24"/>
        </w:rPr>
        <w:t>package insert).</w:t>
      </w:r>
      <w:r w:rsidRPr="002D3E3D">
        <w:t xml:space="preserve"> </w:t>
      </w:r>
      <w:r>
        <w:t xml:space="preserve"> </w:t>
      </w:r>
    </w:p>
    <w:p w:rsidR="00A85CCC" w:rsidRPr="002D3E3D" w:rsidRDefault="00A85CCC" w:rsidP="00A85CCC"/>
    <w:p w:rsidR="00A85CCC" w:rsidRDefault="00A85CCC" w:rsidP="00A85CCC">
      <w:pPr>
        <w:rPr>
          <w:szCs w:val="24"/>
        </w:rPr>
      </w:pP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2D3E3D">
        <w:rPr>
          <w:szCs w:val="24"/>
        </w:rPr>
        <w:t xml:space="preserve"> vaccine </w:t>
      </w:r>
      <w:proofErr w:type="gramStart"/>
      <w:r w:rsidRPr="002D3E3D">
        <w:rPr>
          <w:szCs w:val="24"/>
        </w:rPr>
        <w:t>is administered</w:t>
      </w:r>
      <w:proofErr w:type="gramEnd"/>
      <w:r w:rsidRPr="002D3E3D">
        <w:rPr>
          <w:szCs w:val="24"/>
        </w:rPr>
        <w:t xml:space="preserve"> as</w:t>
      </w:r>
      <w:r>
        <w:rPr>
          <w:szCs w:val="24"/>
        </w:rPr>
        <w:t xml:space="preserve"> a series of two doses.  Administer the first dose at month </w:t>
      </w:r>
      <w:proofErr w:type="gramStart"/>
      <w:r>
        <w:rPr>
          <w:szCs w:val="24"/>
        </w:rPr>
        <w:t>0</w:t>
      </w:r>
      <w:proofErr w:type="gramEnd"/>
      <w:r>
        <w:rPr>
          <w:szCs w:val="24"/>
        </w:rPr>
        <w:t xml:space="preserve"> followed by a second dose administered anytime between 2 and 6 months later</w:t>
      </w:r>
      <w:r w:rsidRPr="002D3E3D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A85CCC" w:rsidRDefault="00A85CCC" w:rsidP="00A85CCC">
      <w:pPr>
        <w:rPr>
          <w:szCs w:val="24"/>
        </w:rPr>
      </w:pPr>
    </w:p>
    <w:p w:rsidR="00A85CCC" w:rsidRDefault="00A85CCC" w:rsidP="00A85CCC">
      <w:pPr>
        <w:rPr>
          <w:szCs w:val="24"/>
        </w:rPr>
      </w:pPr>
      <w:r w:rsidRPr="00CC7153">
        <w:rPr>
          <w:szCs w:val="24"/>
        </w:rPr>
        <w:t>The vaccine</w:t>
      </w:r>
      <w:r>
        <w:rPr>
          <w:szCs w:val="24"/>
        </w:rPr>
        <w:t xml:space="preserve"> </w:t>
      </w:r>
      <w:r w:rsidRPr="00CC7153">
        <w:rPr>
          <w:szCs w:val="24"/>
        </w:rPr>
        <w:t>series need not be restarted if more than 6 months have</w:t>
      </w:r>
      <w:r>
        <w:rPr>
          <w:szCs w:val="24"/>
        </w:rPr>
        <w:t xml:space="preserve"> </w:t>
      </w:r>
      <w:r w:rsidRPr="00CC7153">
        <w:rPr>
          <w:szCs w:val="24"/>
        </w:rPr>
        <w:t>elapsed since the first dose; however, the efficacy of alternative</w:t>
      </w:r>
      <w:r>
        <w:rPr>
          <w:szCs w:val="24"/>
        </w:rPr>
        <w:t xml:space="preserve"> </w:t>
      </w:r>
      <w:r w:rsidRPr="00CC7153">
        <w:rPr>
          <w:szCs w:val="24"/>
        </w:rPr>
        <w:t>dosing regimens has not been evaluated, data regarding the</w:t>
      </w:r>
      <w:r>
        <w:rPr>
          <w:szCs w:val="24"/>
        </w:rPr>
        <w:t xml:space="preserve"> </w:t>
      </w:r>
      <w:r w:rsidRPr="00CC7153">
        <w:rPr>
          <w:szCs w:val="24"/>
        </w:rPr>
        <w:t>safety of alternative regimens are limited, and individuals</w:t>
      </w:r>
      <w:r>
        <w:rPr>
          <w:szCs w:val="24"/>
        </w:rPr>
        <w:t xml:space="preserve"> </w:t>
      </w:r>
      <w:r w:rsidRPr="00CC7153">
        <w:rPr>
          <w:szCs w:val="24"/>
        </w:rPr>
        <w:t>might remain at risk for herpes zoster during a longer than</w:t>
      </w:r>
      <w:r>
        <w:rPr>
          <w:szCs w:val="24"/>
        </w:rPr>
        <w:t xml:space="preserve"> </w:t>
      </w:r>
      <w:r w:rsidRPr="00CC7153">
        <w:rPr>
          <w:szCs w:val="24"/>
        </w:rPr>
        <w:t xml:space="preserve">recommended interval between doses 1 and 2. </w:t>
      </w:r>
      <w:r>
        <w:rPr>
          <w:szCs w:val="24"/>
        </w:rPr>
        <w:t xml:space="preserve"> </w:t>
      </w:r>
      <w:r w:rsidRPr="00CC7153">
        <w:rPr>
          <w:szCs w:val="24"/>
        </w:rPr>
        <w:t>If the second</w:t>
      </w:r>
      <w:r>
        <w:rPr>
          <w:szCs w:val="24"/>
        </w:rPr>
        <w:t xml:space="preserve"> </w:t>
      </w:r>
      <w:r w:rsidRPr="00CC7153">
        <w:rPr>
          <w:szCs w:val="24"/>
        </w:rPr>
        <w:t xml:space="preserve">dose of RZV </w:t>
      </w:r>
      <w:proofErr w:type="gramStart"/>
      <w:r w:rsidRPr="00CC7153">
        <w:rPr>
          <w:szCs w:val="24"/>
        </w:rPr>
        <w:t xml:space="preserve">is </w:t>
      </w:r>
      <w:r w:rsidRPr="00CC7153">
        <w:rPr>
          <w:szCs w:val="24"/>
        </w:rPr>
        <w:lastRenderedPageBreak/>
        <w:t>given</w:t>
      </w:r>
      <w:proofErr w:type="gramEnd"/>
      <w:r w:rsidRPr="00CC7153">
        <w:rPr>
          <w:szCs w:val="24"/>
        </w:rPr>
        <w:t xml:space="preserve"> less than 4 weeks after the first, the</w:t>
      </w:r>
      <w:r>
        <w:rPr>
          <w:szCs w:val="24"/>
        </w:rPr>
        <w:t xml:space="preserve"> </w:t>
      </w:r>
      <w:r w:rsidRPr="00CC7153">
        <w:rPr>
          <w:szCs w:val="24"/>
        </w:rPr>
        <w:t xml:space="preserve">second dose should be repeated. </w:t>
      </w:r>
      <w:r>
        <w:rPr>
          <w:szCs w:val="24"/>
        </w:rPr>
        <w:t xml:space="preserve"> </w:t>
      </w:r>
      <w:r w:rsidRPr="00CC7153">
        <w:rPr>
          <w:szCs w:val="24"/>
        </w:rPr>
        <w:t>Two doses of the vaccine are</w:t>
      </w:r>
      <w:r>
        <w:rPr>
          <w:szCs w:val="24"/>
        </w:rPr>
        <w:t xml:space="preserve"> </w:t>
      </w:r>
      <w:r w:rsidRPr="00CC7153">
        <w:rPr>
          <w:szCs w:val="24"/>
        </w:rPr>
        <w:t>necessary regardless of prior history of herpes zoster or prior</w:t>
      </w:r>
      <w:r>
        <w:rPr>
          <w:szCs w:val="24"/>
        </w:rPr>
        <w:t xml:space="preserve"> </w:t>
      </w:r>
      <w:r w:rsidRPr="00CC7153">
        <w:rPr>
          <w:szCs w:val="24"/>
        </w:rPr>
        <w:t>receipt of ZVL.</w:t>
      </w:r>
    </w:p>
    <w:p w:rsidR="00A85CCC" w:rsidRPr="002D3E3D" w:rsidRDefault="00A85CCC" w:rsidP="00A85CCC">
      <w:pPr>
        <w:rPr>
          <w:sz w:val="26"/>
          <w:szCs w:val="26"/>
        </w:rPr>
      </w:pPr>
    </w:p>
    <w:p w:rsidR="00A85CCC" w:rsidRPr="002D3E3D" w:rsidRDefault="00A85CCC" w:rsidP="00A85CCC">
      <w:pPr>
        <w:keepNext/>
        <w:keepLines/>
        <w:autoSpaceDE w:val="0"/>
        <w:autoSpaceDN w:val="0"/>
        <w:adjustRightInd w:val="0"/>
        <w:spacing w:after="60"/>
        <w:rPr>
          <w:u w:val="single"/>
        </w:rPr>
      </w:pPr>
      <w:r w:rsidRPr="002D3E3D">
        <w:rPr>
          <w:b/>
          <w:u w:val="single"/>
        </w:rPr>
        <w:t xml:space="preserve">Anatomical Site </w:t>
      </w:r>
      <w:r>
        <w:t>- Intramuscular injection</w:t>
      </w:r>
      <w:r w:rsidRPr="002D3E3D">
        <w:t xml:space="preserve"> in the deltoid </w:t>
      </w:r>
      <w:r>
        <w:t>region of the upper arm.</w:t>
      </w:r>
    </w:p>
    <w:p w:rsidR="00A85CCC" w:rsidRDefault="00A85CCC" w:rsidP="00A85CCC">
      <w:pPr>
        <w:autoSpaceDE w:val="0"/>
        <w:autoSpaceDN w:val="0"/>
        <w:adjustRightInd w:val="0"/>
        <w:rPr>
          <w:b/>
          <w:u w:val="single"/>
        </w:rPr>
      </w:pPr>
    </w:p>
    <w:p w:rsidR="00A85CCC" w:rsidRPr="002D3E3D" w:rsidRDefault="00A85CCC" w:rsidP="00A85CCC">
      <w:pPr>
        <w:keepNext/>
        <w:keepLines/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A85CCC" w:rsidRDefault="00A85CCC" w:rsidP="00A85CCC">
      <w:pPr>
        <w:keepNext/>
        <w:keepLines/>
        <w:rPr>
          <w:szCs w:val="24"/>
        </w:rPr>
      </w:pPr>
      <w:r>
        <w:rPr>
          <w:bCs/>
          <w:szCs w:val="24"/>
        </w:rPr>
        <w:t xml:space="preserve">DO NOT administer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2D3E3D">
        <w:rPr>
          <w:szCs w:val="24"/>
        </w:rPr>
        <w:t xml:space="preserve"> to individuals</w:t>
      </w:r>
      <w:r>
        <w:rPr>
          <w:szCs w:val="24"/>
        </w:rPr>
        <w:t xml:space="preserve"> w</w:t>
      </w:r>
      <w:r w:rsidRPr="002D3E3D">
        <w:rPr>
          <w:szCs w:val="24"/>
        </w:rPr>
        <w:t xml:space="preserve">ith a history of </w:t>
      </w:r>
      <w:r>
        <w:rPr>
          <w:szCs w:val="24"/>
        </w:rPr>
        <w:t>severe allergic reaction (e.g., </w:t>
      </w:r>
      <w:r w:rsidRPr="002D3E3D">
        <w:rPr>
          <w:szCs w:val="24"/>
        </w:rPr>
        <w:t>anaphyla</w:t>
      </w:r>
      <w:r>
        <w:rPr>
          <w:szCs w:val="24"/>
        </w:rPr>
        <w:t>xis)</w:t>
      </w:r>
      <w:r w:rsidRPr="002D3E3D">
        <w:rPr>
          <w:szCs w:val="24"/>
        </w:rPr>
        <w:t xml:space="preserve"> </w:t>
      </w:r>
      <w:r>
        <w:rPr>
          <w:szCs w:val="24"/>
        </w:rPr>
        <w:t xml:space="preserve">to </w:t>
      </w:r>
      <w:r w:rsidRPr="002D3E3D">
        <w:rPr>
          <w:szCs w:val="24"/>
        </w:rPr>
        <w:t xml:space="preserve">any component of the vaccine </w:t>
      </w:r>
      <w:r>
        <w:rPr>
          <w:szCs w:val="24"/>
        </w:rPr>
        <w:t xml:space="preserve">or after a previous dose of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.  </w:t>
      </w:r>
      <w:r w:rsidRPr="002D3E3D">
        <w:rPr>
          <w:szCs w:val="24"/>
        </w:rPr>
        <w:t>(</w:t>
      </w:r>
      <w:proofErr w:type="gramStart"/>
      <w:r w:rsidRPr="002D3E3D">
        <w:rPr>
          <w:szCs w:val="24"/>
        </w:rPr>
        <w:t>see</w:t>
      </w:r>
      <w:proofErr w:type="gramEnd"/>
      <w:r>
        <w:rPr>
          <w:szCs w:val="24"/>
        </w:rPr>
        <w:t> package insert 11 DESCRIPTION</w:t>
      </w:r>
      <w:r w:rsidRPr="002D3E3D">
        <w:rPr>
          <w:szCs w:val="24"/>
        </w:rPr>
        <w:t xml:space="preserve">). </w:t>
      </w:r>
    </w:p>
    <w:p w:rsidR="00A85CCC" w:rsidRPr="002D3E3D" w:rsidRDefault="00A85CCC" w:rsidP="00A85CCC">
      <w:pPr>
        <w:ind w:left="720"/>
        <w:rPr>
          <w:szCs w:val="24"/>
        </w:rPr>
      </w:pPr>
    </w:p>
    <w:p w:rsidR="00A85CCC" w:rsidRPr="002D3E3D" w:rsidRDefault="00A85CCC" w:rsidP="00A85CCC">
      <w:pPr>
        <w:autoSpaceDE w:val="0"/>
        <w:autoSpaceDN w:val="0"/>
        <w:adjustRightInd w:val="0"/>
        <w:spacing w:after="60"/>
        <w:rPr>
          <w:b/>
          <w:u w:val="single"/>
        </w:rPr>
      </w:pPr>
      <w:r>
        <w:rPr>
          <w:b/>
          <w:u w:val="single"/>
        </w:rPr>
        <w:t>Warnings and Precautions</w:t>
      </w:r>
    </w:p>
    <w:p w:rsidR="00A85CCC" w:rsidRPr="00F004C4" w:rsidRDefault="00A85CCC" w:rsidP="00A85CCC">
      <w:pPr>
        <w:numPr>
          <w:ilvl w:val="0"/>
          <w:numId w:val="1"/>
        </w:numPr>
        <w:tabs>
          <w:tab w:val="num" w:pos="720"/>
        </w:tabs>
        <w:rPr>
          <w:szCs w:val="24"/>
        </w:rPr>
      </w:pPr>
      <w:r w:rsidRPr="00F004C4">
        <w:rPr>
          <w:szCs w:val="24"/>
        </w:rPr>
        <w:t xml:space="preserve">Preventing and Managing Allergic Vaccine Reactions:  Prior to administration, the healthcare provider should review the immunization history for possible vaccine sensitivity and previous vaccination-related adverse reactions.  Appropriate medical treatment and supervision must be available to manage possible anaphylactic reactions following administration of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F004C4">
        <w:rPr>
          <w:szCs w:val="24"/>
        </w:rPr>
        <w:t>.</w:t>
      </w:r>
    </w:p>
    <w:p w:rsidR="00A85CCC" w:rsidRDefault="00A85CCC" w:rsidP="00A85CCC">
      <w:pPr>
        <w:pStyle w:val="ListParagraph"/>
        <w:numPr>
          <w:ilvl w:val="0"/>
          <w:numId w:val="1"/>
        </w:numPr>
        <w:rPr>
          <w:szCs w:val="24"/>
        </w:rPr>
      </w:pPr>
      <w:r w:rsidRPr="00EE588A">
        <w:rPr>
          <w:szCs w:val="24"/>
        </w:rPr>
        <w:t xml:space="preserve">Current herpes zoster infection. </w:t>
      </w:r>
      <w:r>
        <w:rPr>
          <w:szCs w:val="24"/>
        </w:rPr>
        <w:t xml:space="preserve"> </w:t>
      </w:r>
      <w:r w:rsidRPr="00EE588A">
        <w:rPr>
          <w:szCs w:val="24"/>
        </w:rPr>
        <w:t>RZV is not a treatment</w:t>
      </w:r>
      <w:r>
        <w:rPr>
          <w:szCs w:val="24"/>
        </w:rPr>
        <w:t xml:space="preserve"> </w:t>
      </w:r>
      <w:r w:rsidRPr="00EE588A">
        <w:rPr>
          <w:szCs w:val="24"/>
        </w:rPr>
        <w:t xml:space="preserve">for herpes zoster or </w:t>
      </w:r>
      <w:proofErr w:type="spellStart"/>
      <w:r w:rsidRPr="00EE588A">
        <w:rPr>
          <w:szCs w:val="24"/>
        </w:rPr>
        <w:t>postherpetic</w:t>
      </w:r>
      <w:proofErr w:type="spellEnd"/>
      <w:r w:rsidRPr="00EE588A">
        <w:rPr>
          <w:szCs w:val="24"/>
        </w:rPr>
        <w:t xml:space="preserve"> neuralgia and </w:t>
      </w:r>
      <w:proofErr w:type="gramStart"/>
      <w:r w:rsidRPr="00EE588A">
        <w:rPr>
          <w:szCs w:val="24"/>
        </w:rPr>
        <w:t>should not be</w:t>
      </w:r>
      <w:r>
        <w:rPr>
          <w:szCs w:val="24"/>
        </w:rPr>
        <w:t xml:space="preserve"> </w:t>
      </w:r>
      <w:r w:rsidRPr="00EE588A">
        <w:rPr>
          <w:szCs w:val="24"/>
        </w:rPr>
        <w:t>administered</w:t>
      </w:r>
      <w:proofErr w:type="gramEnd"/>
      <w:r w:rsidRPr="00EE588A">
        <w:rPr>
          <w:szCs w:val="24"/>
        </w:rPr>
        <w:t xml:space="preserve"> during an acute episode of herpes zoster</w:t>
      </w:r>
      <w:r>
        <w:rPr>
          <w:szCs w:val="24"/>
        </w:rPr>
        <w:t>.</w:t>
      </w:r>
    </w:p>
    <w:p w:rsidR="00A85CCC" w:rsidRDefault="00A85CCC" w:rsidP="00A85CCC">
      <w:pPr>
        <w:pStyle w:val="ListParagraph"/>
        <w:numPr>
          <w:ilvl w:val="0"/>
          <w:numId w:val="1"/>
        </w:numPr>
        <w:rPr>
          <w:szCs w:val="24"/>
        </w:rPr>
      </w:pPr>
      <w:r w:rsidRPr="00EE588A">
        <w:rPr>
          <w:szCs w:val="24"/>
        </w:rPr>
        <w:t>Pregnancy and breastfeeding. There are no available data to</w:t>
      </w:r>
      <w:r>
        <w:rPr>
          <w:szCs w:val="24"/>
        </w:rPr>
        <w:t xml:space="preserve"> </w:t>
      </w:r>
      <w:r w:rsidRPr="00EE588A">
        <w:rPr>
          <w:szCs w:val="24"/>
        </w:rPr>
        <w:t>establish whether RZV is safe in pregnant or lactating women</w:t>
      </w:r>
      <w:r>
        <w:rPr>
          <w:szCs w:val="24"/>
        </w:rPr>
        <w:t xml:space="preserve"> </w:t>
      </w:r>
      <w:r w:rsidRPr="00EE588A">
        <w:rPr>
          <w:szCs w:val="24"/>
        </w:rPr>
        <w:t>and there is currently no ACIP recommendation for RZV use</w:t>
      </w:r>
      <w:r>
        <w:rPr>
          <w:szCs w:val="24"/>
        </w:rPr>
        <w:t xml:space="preserve"> </w:t>
      </w:r>
      <w:r w:rsidRPr="00EE588A">
        <w:rPr>
          <w:szCs w:val="24"/>
        </w:rPr>
        <w:t xml:space="preserve">in this population. </w:t>
      </w:r>
      <w:r>
        <w:rPr>
          <w:szCs w:val="24"/>
        </w:rPr>
        <w:t xml:space="preserve"> </w:t>
      </w:r>
      <w:r w:rsidRPr="00EE588A">
        <w:rPr>
          <w:szCs w:val="24"/>
        </w:rPr>
        <w:t>Consider delaying vaccination with RZV</w:t>
      </w:r>
      <w:r>
        <w:rPr>
          <w:szCs w:val="24"/>
        </w:rPr>
        <w:t xml:space="preserve"> </w:t>
      </w:r>
      <w:r w:rsidRPr="00EE588A">
        <w:rPr>
          <w:szCs w:val="24"/>
        </w:rPr>
        <w:t>in such circumstances</w:t>
      </w:r>
    </w:p>
    <w:p w:rsidR="00A85CCC" w:rsidRPr="00EE588A" w:rsidRDefault="00A85CCC" w:rsidP="00A85CCC">
      <w:pPr>
        <w:pStyle w:val="ListParagraph"/>
        <w:numPr>
          <w:ilvl w:val="0"/>
          <w:numId w:val="1"/>
        </w:numPr>
        <w:rPr>
          <w:szCs w:val="24"/>
        </w:rPr>
      </w:pPr>
      <w:r w:rsidRPr="003A3E40">
        <w:rPr>
          <w:szCs w:val="24"/>
        </w:rPr>
        <w:t>Moderate or severe illness with or without fever (temporary deferral)</w:t>
      </w:r>
    </w:p>
    <w:p w:rsidR="00A85CCC" w:rsidRPr="00EE588A" w:rsidRDefault="00A85CCC" w:rsidP="00A85CCC">
      <w:pPr>
        <w:ind w:left="360"/>
        <w:rPr>
          <w:szCs w:val="24"/>
        </w:rPr>
      </w:pPr>
    </w:p>
    <w:p w:rsidR="00A85CCC" w:rsidRPr="00F57DE8" w:rsidRDefault="00A85CCC" w:rsidP="00A85CCC">
      <w:pPr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 xml:space="preserve">Adverse </w:t>
      </w:r>
      <w:r>
        <w:rPr>
          <w:b/>
          <w:u w:val="single"/>
        </w:rPr>
        <w:t>Reactions</w:t>
      </w:r>
      <w:r w:rsidRPr="002D3E3D">
        <w:rPr>
          <w:b/>
          <w:u w:val="single"/>
        </w:rPr>
        <w:t xml:space="preserve"> </w:t>
      </w:r>
      <w:r w:rsidRPr="00F57DE8">
        <w:rPr>
          <w:b/>
          <w:u w:val="single"/>
        </w:rPr>
        <w:t xml:space="preserve"> </w:t>
      </w:r>
    </w:p>
    <w:p w:rsidR="00A85CCC" w:rsidRDefault="00A85CCC" w:rsidP="00A85CC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Local adverse reactions in individuals aged 50 years and older were pain (78%), redness (38.1%), and swelling (25.9%)*</w:t>
      </w:r>
    </w:p>
    <w:p w:rsidR="00A85CCC" w:rsidRDefault="00A85CCC" w:rsidP="00A85CC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General adverse reactions in individuals aged 50 years and older were myalgia (44.7%), fatigue (44.5%), headache (37.7%), shivering (26.8%), fever (20.5%), and gastrointestinal symptoms (17.3%)*</w:t>
      </w:r>
    </w:p>
    <w:p w:rsidR="00A85CCC" w:rsidRDefault="00A85CCC" w:rsidP="00A85CC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*About 1 out of 6 individuals who got recombinant zoster vaccine experienced side effects that prevented them from doing regular activities.  Symptoms went away on their own in about 2 to 3 days.  Side effects were more common in younger individuals.</w:t>
      </w:r>
    </w:p>
    <w:p w:rsidR="00A85CCC" w:rsidRDefault="00A85CCC" w:rsidP="00A85CC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rPr>
          <w:szCs w:val="24"/>
        </w:rPr>
        <w:t>**To report SUSPECTED ADVERSE REACTIONS, contact VAERS at 1-800-822-7967 or http://</w:t>
      </w:r>
      <w:hyperlink r:id="rId7" w:history="1">
        <w:r w:rsidRPr="00925BE7">
          <w:rPr>
            <w:rStyle w:val="Hyperlink"/>
            <w:szCs w:val="24"/>
          </w:rPr>
          <w:t>www.vaers.hhs.gov</w:t>
        </w:r>
      </w:hyperlink>
      <w:r>
        <w:rPr>
          <w:szCs w:val="24"/>
        </w:rPr>
        <w:t xml:space="preserve">. </w:t>
      </w:r>
    </w:p>
    <w:p w:rsidR="00A85CCC" w:rsidRPr="000026F0" w:rsidRDefault="00A85CCC" w:rsidP="00A85CCC">
      <w:pPr>
        <w:pStyle w:val="ListParagraph"/>
        <w:autoSpaceDE w:val="0"/>
        <w:autoSpaceDN w:val="0"/>
        <w:adjustRightInd w:val="0"/>
        <w:ind w:left="360"/>
        <w:rPr>
          <w:szCs w:val="24"/>
        </w:rPr>
      </w:pPr>
    </w:p>
    <w:p w:rsidR="00A85CCC" w:rsidRPr="002D3E3D" w:rsidRDefault="00A85CCC" w:rsidP="00A85CCC">
      <w:pPr>
        <w:autoSpaceDE w:val="0"/>
        <w:autoSpaceDN w:val="0"/>
        <w:adjustRightInd w:val="0"/>
        <w:spacing w:after="6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A85CCC" w:rsidRDefault="00A85CCC" w:rsidP="00A85CCC">
      <w:pPr>
        <w:numPr>
          <w:ilvl w:val="0"/>
          <w:numId w:val="3"/>
        </w:numPr>
      </w:pP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2D3E3D">
        <w:t xml:space="preserve"> is </w:t>
      </w:r>
      <w:r>
        <w:t xml:space="preserve">supplied as two components:  A single vial of adjuvant suspension component and a single vial of lyophilized </w:t>
      </w:r>
      <w:proofErr w:type="spellStart"/>
      <w:proofErr w:type="gramStart"/>
      <w:r>
        <w:t>gE</w:t>
      </w:r>
      <w:proofErr w:type="spellEnd"/>
      <w:proofErr w:type="gramEnd"/>
      <w:r>
        <w:t xml:space="preserve"> antigen component.</w:t>
      </w:r>
    </w:p>
    <w:p w:rsidR="00A85CCC" w:rsidRPr="00AB0254" w:rsidRDefault="00A85CCC" w:rsidP="00A85CCC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 w:rsidRPr="00AB0254">
        <w:rPr>
          <w:szCs w:val="24"/>
        </w:rPr>
        <w:t>Storage before Reconstitution</w:t>
      </w:r>
    </w:p>
    <w:p w:rsidR="00A85CCC" w:rsidRPr="00AB0254" w:rsidRDefault="00A85CCC" w:rsidP="00A85CCC">
      <w:pPr>
        <w:pStyle w:val="ListParagraph"/>
        <w:numPr>
          <w:ilvl w:val="1"/>
          <w:numId w:val="3"/>
        </w:numPr>
        <w:contextualSpacing w:val="0"/>
        <w:rPr>
          <w:szCs w:val="24"/>
        </w:rPr>
      </w:pPr>
      <w:r w:rsidRPr="00AB0254">
        <w:rPr>
          <w:szCs w:val="24"/>
        </w:rPr>
        <w:t>Adjuvant suspension component vials:  Store refrigerated between 36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and 46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(2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C and 8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 xml:space="preserve">C).  Protect vials from light.  Do not freeze.  Discard if the adjuvant suspension </w:t>
      </w:r>
      <w:proofErr w:type="gramStart"/>
      <w:r w:rsidRPr="00AB0254">
        <w:rPr>
          <w:szCs w:val="24"/>
        </w:rPr>
        <w:t>has been frozen</w:t>
      </w:r>
      <w:proofErr w:type="gramEnd"/>
      <w:r w:rsidRPr="00AB0254">
        <w:rPr>
          <w:szCs w:val="24"/>
        </w:rPr>
        <w:t>.</w:t>
      </w:r>
    </w:p>
    <w:p w:rsidR="00A85CCC" w:rsidRPr="00AB0254" w:rsidRDefault="00A85CCC" w:rsidP="00A85CCC">
      <w:pPr>
        <w:pStyle w:val="ListParagraph"/>
        <w:numPr>
          <w:ilvl w:val="1"/>
          <w:numId w:val="3"/>
        </w:numPr>
        <w:rPr>
          <w:szCs w:val="24"/>
        </w:rPr>
      </w:pPr>
      <w:r w:rsidRPr="00AB0254">
        <w:rPr>
          <w:szCs w:val="24"/>
        </w:rPr>
        <w:lastRenderedPageBreak/>
        <w:t xml:space="preserve">Lyophilized </w:t>
      </w:r>
      <w:proofErr w:type="spellStart"/>
      <w:proofErr w:type="gramStart"/>
      <w:r w:rsidRPr="00AB0254">
        <w:rPr>
          <w:szCs w:val="24"/>
        </w:rPr>
        <w:t>gE</w:t>
      </w:r>
      <w:proofErr w:type="spellEnd"/>
      <w:proofErr w:type="gramEnd"/>
      <w:r w:rsidRPr="00AB0254">
        <w:rPr>
          <w:szCs w:val="24"/>
        </w:rPr>
        <w:t xml:space="preserve"> antigen component vials:  Store refrigerated between 36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and 46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(2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C and 8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 xml:space="preserve">C).  Protect vials from light.  Do not freeze.  Discard if the antigen component </w:t>
      </w:r>
      <w:proofErr w:type="gramStart"/>
      <w:r w:rsidRPr="00AB0254">
        <w:rPr>
          <w:szCs w:val="24"/>
        </w:rPr>
        <w:t>has been frozen</w:t>
      </w:r>
      <w:proofErr w:type="gramEnd"/>
      <w:r w:rsidRPr="00AB0254">
        <w:rPr>
          <w:szCs w:val="24"/>
        </w:rPr>
        <w:t>.</w:t>
      </w:r>
    </w:p>
    <w:p w:rsidR="00A85CCC" w:rsidRPr="00AB0254" w:rsidRDefault="00A85CCC" w:rsidP="00A85CCC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 w:rsidRPr="00AB0254">
        <w:rPr>
          <w:szCs w:val="24"/>
        </w:rPr>
        <w:t xml:space="preserve">Storage after Reconstitution:  After reconstitution, administer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AB0254">
        <w:rPr>
          <w:szCs w:val="24"/>
        </w:rPr>
        <w:t xml:space="preserve"> immediately or store refrigerated between 36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and 46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F (2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>C and 8</w:t>
      </w:r>
      <w:r w:rsidRPr="00AB0254">
        <w:rPr>
          <w:szCs w:val="24"/>
          <w:vertAlign w:val="superscript"/>
        </w:rPr>
        <w:t>o</w:t>
      </w:r>
      <w:r w:rsidRPr="00AB0254">
        <w:rPr>
          <w:szCs w:val="24"/>
        </w:rPr>
        <w:t xml:space="preserve">C) and use within 6 hours.  Discard reconstituted vaccine if not used within 6 hours.  Do not freeze.  Discard if the vaccine </w:t>
      </w:r>
      <w:proofErr w:type="gramStart"/>
      <w:r w:rsidRPr="00AB0254">
        <w:rPr>
          <w:szCs w:val="24"/>
        </w:rPr>
        <w:t>has been frozen</w:t>
      </w:r>
      <w:proofErr w:type="gramEnd"/>
      <w:r w:rsidRPr="00AB0254">
        <w:rPr>
          <w:szCs w:val="24"/>
        </w:rPr>
        <w:t>.</w:t>
      </w:r>
    </w:p>
    <w:p w:rsidR="00A85CCC" w:rsidRPr="002D3E3D" w:rsidRDefault="00A85CCC" w:rsidP="00A85CCC">
      <w:pPr>
        <w:keepNext/>
        <w:keepLines/>
        <w:numPr>
          <w:ilvl w:val="0"/>
          <w:numId w:val="3"/>
        </w:numPr>
      </w:pPr>
      <w:r w:rsidRPr="00FC2525">
        <w:t xml:space="preserve">Prepare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 w:rsidRPr="00FC2525">
        <w:t xml:space="preserve"> by reconstituting the lyophilized varicella zoster virus glycoprotein</w:t>
      </w:r>
      <w:r>
        <w:t> </w:t>
      </w:r>
      <w:r w:rsidRPr="00FC2525">
        <w:t>E (</w:t>
      </w:r>
      <w:proofErr w:type="spellStart"/>
      <w:proofErr w:type="gramStart"/>
      <w:r w:rsidRPr="00FC2525">
        <w:t>gE</w:t>
      </w:r>
      <w:proofErr w:type="spellEnd"/>
      <w:proofErr w:type="gramEnd"/>
      <w:r w:rsidRPr="00FC2525">
        <w:t xml:space="preserve">) antigen component with the accompanying AS01B adjuvant suspension component.  The reconstituted vaccine should be an opalescent, colorless to pale brownish liquid </w:t>
      </w:r>
    </w:p>
    <w:p w:rsidR="00A85CCC" w:rsidRDefault="00A85CCC" w:rsidP="00A85CCC">
      <w:pPr>
        <w:numPr>
          <w:ilvl w:val="0"/>
          <w:numId w:val="3"/>
        </w:numPr>
      </w:pPr>
      <w:r w:rsidRPr="002D3E3D">
        <w:t>To reconstitute the vaccine</w:t>
      </w:r>
      <w:r>
        <w:t xml:space="preserve"> (See the Package Insert)</w:t>
      </w:r>
      <w:r w:rsidRPr="002D3E3D">
        <w:t xml:space="preserve">: </w:t>
      </w:r>
      <w:r>
        <w:t xml:space="preserve"> </w:t>
      </w:r>
    </w:p>
    <w:p w:rsidR="00A85CCC" w:rsidRDefault="00A85CCC" w:rsidP="00A85CCC">
      <w:pPr>
        <w:numPr>
          <w:ilvl w:val="1"/>
          <w:numId w:val="3"/>
        </w:numPr>
      </w:pPr>
      <w:r w:rsidRPr="00517B8E">
        <w:t>Cleanse both vial stoppers. Using a sterile needle and sterile syringe, withdraw the entire contents of the vial containing the adjuvant suspension component by slightly tilting the vial (blue-green cap). Vial 1 of 2.</w:t>
      </w:r>
    </w:p>
    <w:p w:rsidR="00A85CCC" w:rsidRDefault="00A85CCC" w:rsidP="00A85CCC">
      <w:pPr>
        <w:numPr>
          <w:ilvl w:val="1"/>
          <w:numId w:val="3"/>
        </w:numPr>
      </w:pPr>
      <w:r w:rsidRPr="00517B8E">
        <w:t xml:space="preserve">Slowly transfer entire contents of syringe into the lyophilized </w:t>
      </w:r>
      <w:proofErr w:type="spellStart"/>
      <w:proofErr w:type="gramStart"/>
      <w:r w:rsidRPr="00517B8E">
        <w:t>gE</w:t>
      </w:r>
      <w:proofErr w:type="spellEnd"/>
      <w:proofErr w:type="gramEnd"/>
      <w:r w:rsidRPr="00517B8E">
        <w:t xml:space="preserve"> antigen component vial (brown cap). Vial 2 of 2.</w:t>
      </w:r>
    </w:p>
    <w:p w:rsidR="00A85CCC" w:rsidRDefault="00A85CCC" w:rsidP="00A85CCC">
      <w:pPr>
        <w:numPr>
          <w:ilvl w:val="1"/>
          <w:numId w:val="3"/>
        </w:numPr>
      </w:pPr>
      <w:r w:rsidRPr="00517B8E">
        <w:t xml:space="preserve">Gently shake the vial </w:t>
      </w:r>
      <w:proofErr w:type="gramStart"/>
      <w:r w:rsidRPr="00517B8E">
        <w:t>to thoroughly mix</w:t>
      </w:r>
      <w:proofErr w:type="gramEnd"/>
      <w:r w:rsidRPr="00517B8E">
        <w:t xml:space="preserve"> contents until powder is completely dissolved.</w:t>
      </w:r>
    </w:p>
    <w:p w:rsidR="00A85CCC" w:rsidRDefault="00A85CCC" w:rsidP="00A85CCC">
      <w:pPr>
        <w:numPr>
          <w:ilvl w:val="0"/>
          <w:numId w:val="3"/>
        </w:numPr>
      </w:pPr>
      <w:r w:rsidRPr="000B7DD6">
        <w:t xml:space="preserve">After reconstitution, withdraw 0.5 mL from the vial containing the reconstituted vaccine and administer </w:t>
      </w:r>
      <w:r w:rsidRPr="00044CB5">
        <w:rPr>
          <w:b/>
        </w:rPr>
        <w:t>intramuscularly</w:t>
      </w:r>
      <w:r w:rsidRPr="000B7DD6">
        <w:t>.</w:t>
      </w:r>
    </w:p>
    <w:p w:rsidR="00A85CCC" w:rsidRPr="002D3E3D" w:rsidRDefault="00A85CCC" w:rsidP="00A85CCC">
      <w:pPr>
        <w:autoSpaceDE w:val="0"/>
        <w:autoSpaceDN w:val="0"/>
        <w:adjustRightInd w:val="0"/>
        <w:rPr>
          <w:b/>
          <w:u w:val="single"/>
        </w:rPr>
      </w:pPr>
    </w:p>
    <w:p w:rsidR="00A85CCC" w:rsidRPr="002D3E3D" w:rsidRDefault="00A85CCC" w:rsidP="00A85CCC">
      <w:pPr>
        <w:keepNext/>
        <w:keepLines/>
        <w:autoSpaceDE w:val="0"/>
        <w:autoSpaceDN w:val="0"/>
        <w:adjustRightInd w:val="0"/>
        <w:spacing w:after="60"/>
      </w:pPr>
      <w:r w:rsidRPr="002D3E3D">
        <w:rPr>
          <w:b/>
          <w:u w:val="single"/>
        </w:rPr>
        <w:t xml:space="preserve">Other Important Notes </w:t>
      </w:r>
    </w:p>
    <w:p w:rsidR="00A85CCC" w:rsidRPr="00E8292A" w:rsidRDefault="00A85CCC" w:rsidP="00A85CCC">
      <w:pPr>
        <w:numPr>
          <w:ilvl w:val="0"/>
          <w:numId w:val="3"/>
        </w:numPr>
      </w:pPr>
      <w:r>
        <w:rPr>
          <w:szCs w:val="24"/>
        </w:rPr>
        <w:t xml:space="preserve">Immunosuppressive therapies may reduce the effectiveness of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</w:p>
    <w:p w:rsidR="00A85CCC" w:rsidRDefault="00A85CCC" w:rsidP="00A85CCC">
      <w:pPr>
        <w:numPr>
          <w:ilvl w:val="0"/>
          <w:numId w:val="3"/>
        </w:numPr>
      </w:pPr>
      <w:r>
        <w:t>Whereas RZV is licensed for all persons aged ≥50 years, immunocompromised persons and those on moderate to high doses of immunosuppressive therapy were excluded from the efficacy studies (ZOE-50 and ZOE-70), and thus, ACIP has not made recommendations regarding the use of RZV in these patients.</w:t>
      </w:r>
    </w:p>
    <w:p w:rsidR="00A85CCC" w:rsidRPr="00831C51" w:rsidRDefault="00A85CCC" w:rsidP="00A85CCC">
      <w:pPr>
        <w:numPr>
          <w:ilvl w:val="0"/>
          <w:numId w:val="3"/>
        </w:numPr>
      </w:pP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proofErr w:type="gramStart"/>
      <w:r>
        <w:rPr>
          <w:szCs w:val="24"/>
        </w:rPr>
        <w:t>can be administered</w:t>
      </w:r>
      <w:proofErr w:type="gramEnd"/>
      <w:r>
        <w:rPr>
          <w:szCs w:val="24"/>
        </w:rPr>
        <w:t xml:space="preserve"> concomitantly, at different anatomic sites, with other adult vaccines.</w:t>
      </w:r>
    </w:p>
    <w:p w:rsidR="00A85CCC" w:rsidRDefault="00A85CCC" w:rsidP="00A85CC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Adults with a history of herpes zoster (shingles) should receive RZV.  If a patient is experiencing an episode of herpes zoster, vaccination </w:t>
      </w:r>
      <w:proofErr w:type="gramStart"/>
      <w:r>
        <w:rPr>
          <w:szCs w:val="24"/>
        </w:rPr>
        <w:t>should be delayed</w:t>
      </w:r>
      <w:proofErr w:type="gramEnd"/>
      <w:r>
        <w:rPr>
          <w:szCs w:val="24"/>
        </w:rPr>
        <w:t xml:space="preserve"> until the acute stage of the illness is over and symptoms abate.</w:t>
      </w:r>
    </w:p>
    <w:p w:rsidR="00A85CCC" w:rsidRDefault="00A85CCC" w:rsidP="00A85CCC">
      <w:pPr>
        <w:numPr>
          <w:ilvl w:val="0"/>
          <w:numId w:val="3"/>
        </w:numPr>
      </w:pPr>
      <w:r>
        <w:t xml:space="preserve">Before vaccination, providers should counsel RZV recipients about expected systemic and local </w:t>
      </w:r>
      <w:proofErr w:type="spellStart"/>
      <w:r>
        <w:t>reactogenicity</w:t>
      </w:r>
      <w:proofErr w:type="spellEnd"/>
      <w:r>
        <w:t xml:space="preserve">.  </w:t>
      </w:r>
    </w:p>
    <w:p w:rsidR="00A85CCC" w:rsidRDefault="00A85CCC" w:rsidP="00A85CCC">
      <w:pPr>
        <w:numPr>
          <w:ilvl w:val="1"/>
          <w:numId w:val="3"/>
        </w:numPr>
      </w:pPr>
      <w:r>
        <w:t xml:space="preserve">Reactions to the first dose did not strongly predict reactions to the second dose.  </w:t>
      </w:r>
    </w:p>
    <w:p w:rsidR="00A85CCC" w:rsidRDefault="00A85CCC" w:rsidP="00A85CCC">
      <w:pPr>
        <w:numPr>
          <w:ilvl w:val="1"/>
          <w:numId w:val="3"/>
        </w:numPr>
      </w:pPr>
      <w:r>
        <w:t xml:space="preserve">Vaccine recipients should be encouraged to complete the series even if they experienced a grade 1-3 reaction to the first dose of RZV.  </w:t>
      </w:r>
    </w:p>
    <w:p w:rsidR="00A85CCC" w:rsidRDefault="00A85CCC" w:rsidP="00A85CCC">
      <w:pPr>
        <w:numPr>
          <w:ilvl w:val="1"/>
          <w:numId w:val="3"/>
        </w:numPr>
      </w:pPr>
      <w:r>
        <w:t>*Grade 3 side effects prevent an individual from doing their regular activities. (See VIS: RZV 2/12/2018</w:t>
      </w:r>
    </w:p>
    <w:p w:rsidR="00A85CCC" w:rsidRDefault="00A85CCC" w:rsidP="00A85CCC">
      <w:pPr>
        <w:numPr>
          <w:ilvl w:val="0"/>
          <w:numId w:val="3"/>
        </w:numPr>
      </w:pPr>
      <w:r>
        <w:t xml:space="preserve">The vial stoppers </w:t>
      </w:r>
      <w:proofErr w:type="gramStart"/>
      <w:r>
        <w:t>are not made</w:t>
      </w:r>
      <w:proofErr w:type="gramEnd"/>
      <w:r>
        <w:t xml:space="preserve"> with natural rubber latex.</w:t>
      </w:r>
    </w:p>
    <w:p w:rsidR="00A85CCC" w:rsidRPr="00971B4B" w:rsidRDefault="00A85CCC" w:rsidP="00A85CCC">
      <w:pPr>
        <w:ind w:left="720"/>
        <w:rPr>
          <w:szCs w:val="24"/>
        </w:rPr>
      </w:pPr>
    </w:p>
    <w:p w:rsidR="00A85CCC" w:rsidRDefault="00A85CCC" w:rsidP="00A85CCC">
      <w:pPr>
        <w:autoSpaceDE w:val="0"/>
        <w:autoSpaceDN w:val="0"/>
        <w:adjustRightInd w:val="0"/>
        <w:rPr>
          <w:rFonts w:cs="Arial"/>
          <w:b/>
        </w:rPr>
      </w:pPr>
    </w:p>
    <w:p w:rsidR="00A85CCC" w:rsidRDefault="00A85CCC" w:rsidP="00A85CC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85CCC" w:rsidRDefault="00A85CCC" w:rsidP="00A85CC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lastRenderedPageBreak/>
        <w:t>Resources:</w:t>
      </w:r>
    </w:p>
    <w:p w:rsidR="00A85CCC" w:rsidRDefault="00A85CCC" w:rsidP="00A85CCC">
      <w:pPr>
        <w:autoSpaceDE w:val="0"/>
        <w:autoSpaceDN w:val="0"/>
        <w:adjustRightInd w:val="0"/>
        <w:rPr>
          <w:rFonts w:cs="Arial"/>
          <w:b/>
        </w:rPr>
      </w:pPr>
    </w:p>
    <w:p w:rsidR="00A85CCC" w:rsidRDefault="00A85CCC" w:rsidP="00A85CCC">
      <w:pPr>
        <w:autoSpaceDE w:val="0"/>
        <w:autoSpaceDN w:val="0"/>
        <w:adjustRightInd w:val="0"/>
        <w:rPr>
          <w:rFonts w:cs="Arial"/>
          <w:lang w:val="en"/>
        </w:rPr>
      </w:pPr>
      <w:proofErr w:type="spellStart"/>
      <w:r>
        <w:rPr>
          <w:rFonts w:cs="Arial"/>
        </w:rPr>
        <w:t>Dooling</w:t>
      </w:r>
      <w:proofErr w:type="spellEnd"/>
      <w:r>
        <w:rPr>
          <w:rFonts w:cs="Arial"/>
        </w:rPr>
        <w:t xml:space="preserve"> KL, </w:t>
      </w:r>
      <w:proofErr w:type="spellStart"/>
      <w:r>
        <w:rPr>
          <w:rFonts w:cs="Arial"/>
        </w:rPr>
        <w:t>Guo</w:t>
      </w:r>
      <w:proofErr w:type="spellEnd"/>
      <w:r>
        <w:rPr>
          <w:rFonts w:cs="Arial"/>
        </w:rPr>
        <w:t xml:space="preserve"> A, Patel M, Lee GM, Moore K, </w:t>
      </w:r>
      <w:proofErr w:type="spellStart"/>
      <w:r>
        <w:rPr>
          <w:rFonts w:cs="Arial"/>
        </w:rPr>
        <w:t>Belongia</w:t>
      </w:r>
      <w:proofErr w:type="spellEnd"/>
      <w:r>
        <w:rPr>
          <w:rFonts w:cs="Arial"/>
        </w:rPr>
        <w:t xml:space="preserve">, EA, </w:t>
      </w:r>
      <w:proofErr w:type="spellStart"/>
      <w:r>
        <w:rPr>
          <w:rFonts w:cs="Arial"/>
        </w:rPr>
        <w:t>Harpaz</w:t>
      </w:r>
      <w:proofErr w:type="spellEnd"/>
      <w:r>
        <w:rPr>
          <w:rFonts w:cs="Arial"/>
        </w:rPr>
        <w:t xml:space="preserve"> R.  </w:t>
      </w:r>
      <w:r w:rsidRPr="005179D6">
        <w:rPr>
          <w:rFonts w:cs="Arial"/>
        </w:rPr>
        <w:t>Recommendations of the Advisory Committee on Immunization Practices for Use of Herpes Zoster Vaccines. MMWR</w:t>
      </w:r>
      <w:r>
        <w:rPr>
          <w:rFonts w:cs="Arial"/>
        </w:rPr>
        <w:t> </w:t>
      </w:r>
      <w:proofErr w:type="spellStart"/>
      <w:r w:rsidRPr="005179D6">
        <w:rPr>
          <w:rFonts w:cs="Arial"/>
        </w:rPr>
        <w:t>Morb</w:t>
      </w:r>
      <w:proofErr w:type="spellEnd"/>
      <w:r w:rsidRPr="005179D6">
        <w:rPr>
          <w:rFonts w:cs="Arial"/>
        </w:rPr>
        <w:t xml:space="preserve"> Mortal </w:t>
      </w:r>
      <w:proofErr w:type="spellStart"/>
      <w:r w:rsidRPr="005179D6">
        <w:rPr>
          <w:rFonts w:cs="Arial"/>
        </w:rPr>
        <w:t>Wkly</w:t>
      </w:r>
      <w:proofErr w:type="spellEnd"/>
      <w:r w:rsidRPr="005179D6">
        <w:rPr>
          <w:rFonts w:cs="Arial"/>
        </w:rPr>
        <w:t xml:space="preserve"> Rep 2018</w:t>
      </w:r>
      <w:proofErr w:type="gramStart"/>
      <w:r w:rsidRPr="005179D6">
        <w:rPr>
          <w:rFonts w:cs="Arial"/>
        </w:rPr>
        <w:t>;67:103</w:t>
      </w:r>
      <w:proofErr w:type="gramEnd"/>
      <w:r w:rsidRPr="005179D6">
        <w:rPr>
          <w:rFonts w:cs="Arial"/>
        </w:rPr>
        <w:t>–108</w:t>
      </w:r>
      <w:r>
        <w:rPr>
          <w:rFonts w:cs="Arial"/>
        </w:rPr>
        <w:t xml:space="preserve">, </w:t>
      </w:r>
      <w:hyperlink r:id="rId8" w:history="1">
        <w:r w:rsidRPr="00044CB5">
          <w:rPr>
            <w:rStyle w:val="Hyperlink"/>
          </w:rPr>
          <w:t>https://www.cdc.gov/mmwr</w:t>
        </w:r>
        <w:r w:rsidRPr="00751624">
          <w:rPr>
            <w:rStyle w:val="Hyperlink"/>
            <w:rFonts w:cs="Arial"/>
            <w:lang w:val="en"/>
          </w:rPr>
          <w:t>/volumes/67/</w:t>
        </w:r>
        <w:proofErr w:type="spellStart"/>
        <w:r w:rsidRPr="00751624">
          <w:rPr>
            <w:rStyle w:val="Hyperlink"/>
            <w:rFonts w:cs="Arial"/>
            <w:lang w:val="en"/>
          </w:rPr>
          <w:t>wr</w:t>
        </w:r>
        <w:proofErr w:type="spellEnd"/>
        <w:r w:rsidRPr="00751624">
          <w:rPr>
            <w:rStyle w:val="Hyperlink"/>
            <w:rFonts w:cs="Arial"/>
            <w:lang w:val="en"/>
          </w:rPr>
          <w:t>/mm6703a5.htm</w:t>
        </w:r>
      </w:hyperlink>
    </w:p>
    <w:p w:rsidR="00A85CCC" w:rsidRDefault="00A85CCC" w:rsidP="00A85CCC">
      <w:pPr>
        <w:autoSpaceDE w:val="0"/>
        <w:autoSpaceDN w:val="0"/>
        <w:adjustRightInd w:val="0"/>
        <w:rPr>
          <w:rFonts w:cs="Arial"/>
          <w:lang w:val="en"/>
        </w:rPr>
      </w:pPr>
    </w:p>
    <w:p w:rsidR="00A85CCC" w:rsidRDefault="00A85CCC" w:rsidP="00A85CCC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Food and Drug Administration. </w:t>
      </w:r>
      <w:r w:rsidRPr="00A85CCC">
        <w:rPr>
          <w:b/>
          <w:szCs w:val="24"/>
        </w:rPr>
        <w:t>SHINGRIX</w:t>
      </w:r>
      <w:r>
        <w:rPr>
          <w:szCs w:val="24"/>
          <w:vertAlign w:val="superscript"/>
        </w:rPr>
        <w:t>®</w:t>
      </w:r>
      <w:r>
        <w:rPr>
          <w:rFonts w:cs="Arial"/>
          <w:lang w:val="en"/>
        </w:rPr>
        <w:t xml:space="preserve"> (Package Insert). Silver Spring, MD: US Department of Health and Human Services, Food and Drug Administration: 2017</w:t>
      </w:r>
    </w:p>
    <w:p w:rsidR="00A85CCC" w:rsidRDefault="00A85CCC" w:rsidP="00A85CCC">
      <w:pPr>
        <w:autoSpaceDE w:val="0"/>
        <w:autoSpaceDN w:val="0"/>
        <w:adjustRightInd w:val="0"/>
      </w:pPr>
      <w:hyperlink r:id="rId9" w:tgtFrame="_blank" w:history="1">
        <w:r w:rsidRPr="00B6238A">
          <w:rPr>
            <w:rStyle w:val="Hyperlink"/>
          </w:rPr>
          <w:t>https://www.fda.gov/downloads/BiologicsBloodVaccines/Vaccines/ApprovedProducts/UCM581605.pdf</w:t>
        </w:r>
      </w:hyperlink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  <w:r>
        <w:t xml:space="preserve">Vaccine Information Statement (VIS): Recombinant Zoster (Shingles) Vaccine, RZV: </w:t>
      </w:r>
      <w:r w:rsidRPr="00044CB5">
        <w:rPr>
          <w:i/>
        </w:rPr>
        <w:t>What You Need to Know</w:t>
      </w:r>
      <w:r>
        <w:t>; U.S. Department of Health and Human Services (CDC); 2/12/2018</w:t>
      </w:r>
    </w:p>
    <w:p w:rsidR="00A85CCC" w:rsidRDefault="00A85CCC" w:rsidP="00A85CCC">
      <w:pPr>
        <w:autoSpaceDE w:val="0"/>
        <w:autoSpaceDN w:val="0"/>
        <w:adjustRightInd w:val="0"/>
      </w:pPr>
      <w:hyperlink r:id="rId10" w:history="1">
        <w:r w:rsidRPr="00081076">
          <w:rPr>
            <w:rStyle w:val="Hyperlink"/>
          </w:rPr>
          <w:t>https://www.cdc.gov/vaccines/hcp/vis/vis-statements/shingles-recombinant.html</w:t>
        </w:r>
      </w:hyperlink>
      <w:r>
        <w:t xml:space="preserve"> </w:t>
      </w: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  <w:r>
        <w:t xml:space="preserve">Footnotes to the “Recommended Immunization Schedule for Adults Aged 19 Years or Older, United States, 2018”:  </w:t>
      </w:r>
    </w:p>
    <w:p w:rsidR="00A85CCC" w:rsidRDefault="00A85CCC" w:rsidP="00A85CCC">
      <w:pPr>
        <w:autoSpaceDE w:val="0"/>
        <w:autoSpaceDN w:val="0"/>
        <w:adjustRightInd w:val="0"/>
      </w:pPr>
      <w:hyperlink r:id="rId11" w:history="1">
        <w:r w:rsidRPr="00C423E2">
          <w:rPr>
            <w:rStyle w:val="Hyperlink"/>
          </w:rPr>
          <w:t>http://www.cdc.gov/vaccines/schedules/downloads/adult/adult-combined-schedule.pdf</w:t>
        </w:r>
      </w:hyperlink>
      <w:r>
        <w:t xml:space="preserve"> </w:t>
      </w:r>
      <w:r>
        <w:br/>
      </w: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A85CCC" w:rsidRDefault="00A85CCC" w:rsidP="00A85CCC">
      <w:pPr>
        <w:autoSpaceDE w:val="0"/>
        <w:autoSpaceDN w:val="0"/>
        <w:adjustRightInd w:val="0"/>
      </w:pPr>
    </w:p>
    <w:p w:rsidR="00F25F63" w:rsidRDefault="00A85CCC" w:rsidP="00A85CCC">
      <w:r>
        <w:t>Last updated July 1, 2018</w:t>
      </w:r>
    </w:p>
    <w:sectPr w:rsidR="00F25F6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14" w:rsidRDefault="00137A14" w:rsidP="00A85CCC">
      <w:r>
        <w:separator/>
      </w:r>
    </w:p>
  </w:endnote>
  <w:endnote w:type="continuationSeparator" w:id="0">
    <w:p w:rsidR="00137A14" w:rsidRDefault="00137A14" w:rsidP="00A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C" w:rsidRDefault="00A85CCC">
    <w:pPr>
      <w:pStyle w:val="Footer"/>
      <w:jc w:val="center"/>
      <w:rPr>
        <w:color w:val="auto"/>
        <w:sz w:val="16"/>
        <w:szCs w:val="16"/>
      </w:rPr>
    </w:pPr>
    <w:r w:rsidRPr="00A85CCC">
      <w:rPr>
        <w:color w:val="auto"/>
        <w:sz w:val="16"/>
        <w:szCs w:val="16"/>
      </w:rPr>
      <w:t xml:space="preserve">Page </w:t>
    </w:r>
    <w:r w:rsidRPr="00A85CCC">
      <w:rPr>
        <w:color w:val="auto"/>
        <w:sz w:val="16"/>
        <w:szCs w:val="16"/>
      </w:rPr>
      <w:fldChar w:fldCharType="begin"/>
    </w:r>
    <w:r w:rsidRPr="00A85CCC">
      <w:rPr>
        <w:color w:val="auto"/>
        <w:sz w:val="16"/>
        <w:szCs w:val="16"/>
      </w:rPr>
      <w:instrText xml:space="preserve"> PAGE  \* Arabic  \* MERGEFORMAT </w:instrText>
    </w:r>
    <w:r w:rsidRPr="00A85CCC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4</w:t>
    </w:r>
    <w:r w:rsidRPr="00A85CCC">
      <w:rPr>
        <w:color w:val="auto"/>
        <w:sz w:val="16"/>
        <w:szCs w:val="16"/>
      </w:rPr>
      <w:fldChar w:fldCharType="end"/>
    </w:r>
    <w:r w:rsidRPr="00A85CCC">
      <w:rPr>
        <w:color w:val="auto"/>
        <w:sz w:val="16"/>
        <w:szCs w:val="16"/>
      </w:rPr>
      <w:t xml:space="preserve"> of </w:t>
    </w:r>
    <w:r w:rsidRPr="00A85CCC">
      <w:rPr>
        <w:color w:val="auto"/>
        <w:sz w:val="16"/>
        <w:szCs w:val="16"/>
      </w:rPr>
      <w:fldChar w:fldCharType="begin"/>
    </w:r>
    <w:r w:rsidRPr="00A85CCC">
      <w:rPr>
        <w:color w:val="auto"/>
        <w:sz w:val="16"/>
        <w:szCs w:val="16"/>
      </w:rPr>
      <w:instrText xml:space="preserve"> NUMPAGES  \* Arabic  \* MERGEFORMAT </w:instrText>
    </w:r>
    <w:r w:rsidRPr="00A85CCC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4</w:t>
    </w:r>
    <w:r w:rsidRPr="00A85CCC">
      <w:rPr>
        <w:color w:val="auto"/>
        <w:sz w:val="16"/>
        <w:szCs w:val="16"/>
      </w:rPr>
      <w:fldChar w:fldCharType="end"/>
    </w:r>
  </w:p>
  <w:p w:rsidR="00A85CCC" w:rsidRDefault="00A85CCC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A85CCC" w:rsidRDefault="00A85CCC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(DD) – Recombinant Zoster (RZV) Vaccine (SHINGRIX)</w:t>
    </w:r>
  </w:p>
  <w:p w:rsidR="00A85CCC" w:rsidRPr="00A85CCC" w:rsidRDefault="00A85CCC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A85CCC" w:rsidRDefault="00A85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14" w:rsidRDefault="00137A14" w:rsidP="00A85CCC">
      <w:r>
        <w:separator/>
      </w:r>
    </w:p>
  </w:footnote>
  <w:footnote w:type="continuationSeparator" w:id="0">
    <w:p w:rsidR="00137A14" w:rsidRDefault="00137A14" w:rsidP="00A8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7F"/>
    <w:multiLevelType w:val="hybridMultilevel"/>
    <w:tmpl w:val="26A035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F70BF"/>
    <w:multiLevelType w:val="hybridMultilevel"/>
    <w:tmpl w:val="273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0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365104B"/>
    <w:multiLevelType w:val="hybridMultilevel"/>
    <w:tmpl w:val="A1E41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3"/>
    <w:rsid w:val="00137A14"/>
    <w:rsid w:val="00995CB3"/>
    <w:rsid w:val="00A85CCC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11C0"/>
  <w15:chartTrackingRefBased/>
  <w15:docId w15:val="{E2C880BD-E9E1-4961-B38A-82D6901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C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C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67/wr/mm6703a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ers.hhs.go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schedules/downloads/adult/adult-combined-schedule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dc.gov/vaccines/hcp/vis/vis-statements/shingles-recombina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downloads/BiologicsBloodVaccines/Vaccines/ApprovedProducts/UCM5816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3B091D7-D283-45C0-AF21-656C69BF7659}"/>
</file>

<file path=customXml/itemProps2.xml><?xml version="1.0" encoding="utf-8"?>
<ds:datastoreItem xmlns:ds="http://schemas.openxmlformats.org/officeDocument/2006/customXml" ds:itemID="{5E260D92-0DBA-4EE4-9795-43BD13197FB1}"/>
</file>

<file path=customXml/itemProps3.xml><?xml version="1.0" encoding="utf-8"?>
<ds:datastoreItem xmlns:ds="http://schemas.openxmlformats.org/officeDocument/2006/customXml" ds:itemID="{50517917-C1B6-4A41-8B2D-3BB706C8C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7396</Characters>
  <Application>Microsoft Office Word</Application>
  <DocSecurity>0</DocSecurity>
  <Lines>61</Lines>
  <Paragraphs>17</Paragraphs>
  <ScaleCrop>false</ScaleCrop>
  <Company>Commonwealth of Kentucky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(DD) - RZV (SHINGRIX)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2018-06-29T19:29:00Z</dcterms:created>
  <dcterms:modified xsi:type="dcterms:W3CDTF">2018-06-29T19:34:00Z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