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03" w:rsidRPr="002D3E3D" w:rsidRDefault="00C45803" w:rsidP="00C45803">
      <w:pPr>
        <w:jc w:val="center"/>
        <w:rPr>
          <w:sz w:val="28"/>
          <w:szCs w:val="28"/>
        </w:rPr>
      </w:pPr>
      <w:bookmarkStart w:id="0" w:name="Kinrix"/>
      <w:r w:rsidRPr="002D3E3D">
        <w:rPr>
          <w:b/>
          <w:bCs/>
          <w:sz w:val="28"/>
          <w:szCs w:val="28"/>
        </w:rPr>
        <w:t xml:space="preserve">Diphtheria Tetanus Acellular Pertussis-Inactivated Poliovirus </w:t>
      </w:r>
      <w:r w:rsidRPr="002D3E3D">
        <w:rPr>
          <w:b/>
          <w:bCs/>
          <w:sz w:val="28"/>
          <w:szCs w:val="28"/>
        </w:rPr>
        <w:br/>
        <w:t>(</w:t>
      </w:r>
      <w:proofErr w:type="spellStart"/>
      <w:r w:rsidRPr="002D3E3D">
        <w:rPr>
          <w:b/>
          <w:bCs/>
          <w:sz w:val="28"/>
          <w:szCs w:val="28"/>
        </w:rPr>
        <w:t>DTaP</w:t>
      </w:r>
      <w:proofErr w:type="spellEnd"/>
      <w:r w:rsidRPr="002D3E3D">
        <w:rPr>
          <w:b/>
          <w:bCs/>
          <w:sz w:val="28"/>
          <w:szCs w:val="28"/>
        </w:rPr>
        <w:t>-IPV) Combination Vaccine (KINRIX</w:t>
      </w:r>
      <w:r w:rsidRPr="002D3E3D">
        <w:rPr>
          <w:szCs w:val="24"/>
          <w:vertAlign w:val="superscript"/>
        </w:rPr>
        <w:t>®</w:t>
      </w:r>
      <w:r w:rsidRPr="002D3E3D">
        <w:rPr>
          <w:b/>
          <w:bCs/>
          <w:sz w:val="28"/>
          <w:szCs w:val="28"/>
        </w:rPr>
        <w:t>)</w:t>
      </w:r>
    </w:p>
    <w:bookmarkEnd w:id="0"/>
    <w:p w:rsidR="00C45803" w:rsidRPr="002D3E3D" w:rsidRDefault="00C45803" w:rsidP="00C45803">
      <w:pPr>
        <w:rPr>
          <w:sz w:val="28"/>
          <w:szCs w:val="28"/>
        </w:rPr>
      </w:pPr>
    </w:p>
    <w:p w:rsidR="00C45803" w:rsidRDefault="00C45803" w:rsidP="00C45803">
      <w:pPr>
        <w:autoSpaceDE w:val="0"/>
        <w:autoSpaceDN w:val="0"/>
        <w:adjustRightInd w:val="0"/>
        <w:spacing w:after="120"/>
        <w:rPr>
          <w:b/>
          <w:u w:val="single"/>
        </w:rPr>
      </w:pPr>
      <w:r>
        <w:rPr>
          <w:b/>
          <w:u w:val="single"/>
        </w:rPr>
        <w:t>Precautions and Contraindications</w:t>
      </w:r>
    </w:p>
    <w:p w:rsidR="00C45803" w:rsidRPr="00906858" w:rsidRDefault="00C45803" w:rsidP="00C45803">
      <w:pPr>
        <w:autoSpaceDE w:val="0"/>
        <w:autoSpaceDN w:val="0"/>
        <w:adjustRightInd w:val="0"/>
        <w:spacing w:after="120"/>
      </w:pPr>
      <w:r w:rsidRPr="00906858">
        <w:t>Screen all patients for precautions and contraindications to immunization.</w:t>
      </w:r>
    </w:p>
    <w:p w:rsidR="00C45803" w:rsidRPr="002D3E3D" w:rsidRDefault="00C45803" w:rsidP="00C45803">
      <w:pPr>
        <w:widowControl w:val="0"/>
        <w:rPr>
          <w:b/>
          <w:bCs/>
        </w:rPr>
      </w:pPr>
    </w:p>
    <w:p w:rsidR="00C45803" w:rsidRPr="002D3E3D" w:rsidRDefault="00C45803" w:rsidP="00C45803">
      <w:pPr>
        <w:spacing w:after="120"/>
        <w:rPr>
          <w:b/>
          <w:szCs w:val="24"/>
        </w:rPr>
      </w:pPr>
      <w:r w:rsidRPr="0074546F">
        <w:rPr>
          <w:b/>
          <w:szCs w:val="24"/>
          <w:u w:val="single"/>
        </w:rPr>
        <w:t>Indications and Usage</w:t>
      </w:r>
      <w:r w:rsidRPr="002D3E3D">
        <w:rPr>
          <w:b/>
          <w:szCs w:val="24"/>
        </w:rPr>
        <w:t>:</w:t>
      </w:r>
    </w:p>
    <w:p w:rsidR="00C45803" w:rsidRPr="002D3E3D" w:rsidRDefault="00C45803" w:rsidP="00C45803">
      <w:pPr>
        <w:rPr>
          <w:szCs w:val="24"/>
        </w:rPr>
      </w:pPr>
      <w:r w:rsidRPr="002D3E3D">
        <w:rPr>
          <w:b/>
          <w:bCs/>
          <w:szCs w:val="24"/>
        </w:rPr>
        <w:t>KINRIX</w:t>
      </w:r>
      <w:r w:rsidRPr="002D3E3D">
        <w:rPr>
          <w:szCs w:val="24"/>
          <w:vertAlign w:val="superscript"/>
        </w:rPr>
        <w:t>®</w:t>
      </w:r>
      <w:r>
        <w:rPr>
          <w:szCs w:val="24"/>
          <w:vertAlign w:val="superscript"/>
        </w:rPr>
        <w:t xml:space="preserve"> </w:t>
      </w:r>
      <w:proofErr w:type="gramStart"/>
      <w:r w:rsidRPr="002D3E3D">
        <w:rPr>
          <w:szCs w:val="24"/>
        </w:rPr>
        <w:t>is indicated</w:t>
      </w:r>
      <w:proofErr w:type="gramEnd"/>
      <w:r w:rsidRPr="002D3E3D">
        <w:rPr>
          <w:szCs w:val="24"/>
        </w:rPr>
        <w:t xml:space="preserve"> for active immunization against diphtheria, tetanus, pertussis, and poliomyelitis.  </w:t>
      </w:r>
      <w:r w:rsidRPr="002D3E3D">
        <w:rPr>
          <w:b/>
          <w:bCs/>
          <w:szCs w:val="24"/>
        </w:rPr>
        <w:t>KINRIX</w:t>
      </w:r>
      <w:r w:rsidRPr="002D3E3D">
        <w:rPr>
          <w:szCs w:val="24"/>
          <w:vertAlign w:val="superscript"/>
        </w:rPr>
        <w:t>®</w:t>
      </w:r>
      <w:r w:rsidRPr="002D3E3D" w:rsidDel="00257B2B">
        <w:rPr>
          <w:rFonts w:ascii="Times New Roman Bold"/>
          <w:b/>
          <w:bCs/>
          <w:position w:val="8"/>
          <w:sz w:val="16"/>
          <w:szCs w:val="24"/>
        </w:rPr>
        <w:t xml:space="preserve"> </w:t>
      </w:r>
      <w:r w:rsidRPr="002D3E3D">
        <w:rPr>
          <w:szCs w:val="24"/>
        </w:rPr>
        <w:t>(</w:t>
      </w:r>
      <w:proofErr w:type="spellStart"/>
      <w:r w:rsidRPr="002D3E3D">
        <w:t>DTaP</w:t>
      </w:r>
      <w:proofErr w:type="spellEnd"/>
      <w:r w:rsidRPr="002D3E3D">
        <w:t xml:space="preserve">-IPV) </w:t>
      </w:r>
      <w:proofErr w:type="gramStart"/>
      <w:r w:rsidRPr="002D3E3D">
        <w:t>is approved</w:t>
      </w:r>
      <w:proofErr w:type="gramEnd"/>
      <w:r w:rsidRPr="002D3E3D">
        <w:t xml:space="preserve"> for the fifth dose in the </w:t>
      </w:r>
      <w:proofErr w:type="spellStart"/>
      <w:r w:rsidRPr="002D3E3D">
        <w:t>DTaP</w:t>
      </w:r>
      <w:proofErr w:type="spellEnd"/>
      <w:r w:rsidRPr="002D3E3D">
        <w:t xml:space="preserve"> vaccine series and the fourth dose in the IPV series in children 4 </w:t>
      </w:r>
      <w:r>
        <w:t>through</w:t>
      </w:r>
      <w:r w:rsidRPr="002D3E3D">
        <w:t xml:space="preserve"> 6 years of age whose previous vaccine doses have been with INFANRIX</w:t>
      </w:r>
      <w:r w:rsidRPr="002D3E3D">
        <w:rPr>
          <w:b/>
          <w:bCs/>
          <w:sz w:val="28"/>
          <w:szCs w:val="28"/>
          <w:vertAlign w:val="superscript"/>
        </w:rPr>
        <w:t>®</w:t>
      </w:r>
      <w:r w:rsidRPr="002D3E3D">
        <w:t xml:space="preserve"> (</w:t>
      </w:r>
      <w:proofErr w:type="spellStart"/>
      <w:r w:rsidRPr="002D3E3D">
        <w:t>DTaP</w:t>
      </w:r>
      <w:proofErr w:type="spellEnd"/>
      <w:r w:rsidRPr="002D3E3D">
        <w:t>) and/or PEDIARIX</w:t>
      </w:r>
      <w:r w:rsidRPr="002D3E3D">
        <w:rPr>
          <w:b/>
          <w:bCs/>
          <w:sz w:val="28"/>
          <w:szCs w:val="28"/>
          <w:vertAlign w:val="superscript"/>
        </w:rPr>
        <w:t>®</w:t>
      </w:r>
      <w:r w:rsidRPr="002D3E3D">
        <w:t xml:space="preserve"> (</w:t>
      </w:r>
      <w:proofErr w:type="spellStart"/>
      <w:r w:rsidRPr="002D3E3D">
        <w:t>DTaP</w:t>
      </w:r>
      <w:proofErr w:type="spellEnd"/>
      <w:r w:rsidRPr="002D3E3D">
        <w:noBreakHyphen/>
      </w:r>
      <w:proofErr w:type="spellStart"/>
      <w:r w:rsidRPr="002D3E3D">
        <w:t>HepB</w:t>
      </w:r>
      <w:proofErr w:type="spellEnd"/>
      <w:r w:rsidRPr="002D3E3D">
        <w:t>-IPV) for the first three doses and INFANRIX</w:t>
      </w:r>
      <w:r w:rsidRPr="002D3E3D">
        <w:rPr>
          <w:b/>
          <w:bCs/>
          <w:sz w:val="28"/>
          <w:szCs w:val="28"/>
          <w:vertAlign w:val="superscript"/>
        </w:rPr>
        <w:t>®</w:t>
      </w:r>
      <w:r w:rsidRPr="002D3E3D">
        <w:t xml:space="preserve"> for the fourth dose.</w:t>
      </w:r>
    </w:p>
    <w:p w:rsidR="00C45803" w:rsidRPr="002D3E3D" w:rsidRDefault="00C45803" w:rsidP="00C45803">
      <w:pPr>
        <w:rPr>
          <w:szCs w:val="24"/>
        </w:rPr>
      </w:pPr>
    </w:p>
    <w:p w:rsidR="00C45803" w:rsidRPr="002D3E3D" w:rsidRDefault="00C45803" w:rsidP="00C45803">
      <w:pPr>
        <w:spacing w:after="120"/>
        <w:rPr>
          <w:b/>
          <w:szCs w:val="24"/>
          <w:u w:val="single"/>
        </w:rPr>
      </w:pPr>
      <w:r w:rsidRPr="002D3E3D">
        <w:rPr>
          <w:b/>
          <w:szCs w:val="24"/>
          <w:u w:val="single"/>
        </w:rPr>
        <w:t>Recommended Schedule</w:t>
      </w:r>
    </w:p>
    <w:p w:rsidR="00C45803" w:rsidRPr="002D3E3D" w:rsidRDefault="00C45803" w:rsidP="00C45803">
      <w:r w:rsidRPr="002D3E3D">
        <w:rPr>
          <w:szCs w:val="24"/>
        </w:rPr>
        <w:t>Give a</w:t>
      </w:r>
      <w:r w:rsidRPr="002D3E3D">
        <w:t xml:space="preserve"> single dose in children 4 </w:t>
      </w:r>
      <w:r>
        <w:t>through</w:t>
      </w:r>
      <w:r w:rsidRPr="002D3E3D">
        <w:t xml:space="preserve"> 6 years of age who meet eligibility requirements. </w:t>
      </w:r>
    </w:p>
    <w:p w:rsidR="00C45803" w:rsidRPr="002D3E3D" w:rsidRDefault="00C45803" w:rsidP="00C45803">
      <w:pPr>
        <w:rPr>
          <w:szCs w:val="24"/>
        </w:rPr>
      </w:pPr>
      <w:r w:rsidRPr="002D3E3D">
        <w:rPr>
          <w:szCs w:val="24"/>
        </w:rPr>
        <w:t>The minimum interval from dose 4 to dose 5 should be at least 6 months to provide an optimum booster response.</w:t>
      </w:r>
    </w:p>
    <w:p w:rsidR="00C45803" w:rsidRPr="002D3E3D" w:rsidRDefault="00C45803" w:rsidP="00C45803"/>
    <w:p w:rsidR="00C45803" w:rsidRPr="002D3E3D" w:rsidRDefault="00C45803" w:rsidP="00C45803">
      <w:pPr>
        <w:autoSpaceDE w:val="0"/>
        <w:autoSpaceDN w:val="0"/>
        <w:adjustRightInd w:val="0"/>
        <w:spacing w:after="120"/>
        <w:rPr>
          <w:b/>
          <w:szCs w:val="24"/>
          <w:u w:val="single"/>
        </w:rPr>
      </w:pPr>
      <w:r w:rsidRPr="002D3E3D">
        <w:rPr>
          <w:b/>
          <w:szCs w:val="24"/>
          <w:u w:val="single"/>
        </w:rPr>
        <w:t xml:space="preserve">Dosage </w:t>
      </w:r>
    </w:p>
    <w:p w:rsidR="00C45803" w:rsidRDefault="00C45803" w:rsidP="00C45803">
      <w:pPr>
        <w:autoSpaceDE w:val="0"/>
        <w:autoSpaceDN w:val="0"/>
        <w:adjustRightInd w:val="0"/>
      </w:pPr>
      <w:r w:rsidRPr="002D3E3D">
        <w:rPr>
          <w:b/>
          <w:bCs/>
        </w:rPr>
        <w:t>KINRIX</w:t>
      </w:r>
      <w:r w:rsidRPr="002D3E3D">
        <w:rPr>
          <w:szCs w:val="24"/>
          <w:vertAlign w:val="superscript"/>
        </w:rPr>
        <w:t>®</w:t>
      </w:r>
      <w:r w:rsidRPr="002D3E3D">
        <w:t xml:space="preserve"> is to </w:t>
      </w:r>
      <w:proofErr w:type="gramStart"/>
      <w:r w:rsidRPr="002D3E3D">
        <w:t>be administered</w:t>
      </w:r>
      <w:proofErr w:type="gramEnd"/>
      <w:r w:rsidRPr="002D3E3D">
        <w:t xml:space="preserve"> as a single 0.5 mL dose by intramuscular (IM) injection.  </w:t>
      </w:r>
      <w:r w:rsidRPr="002D3E3D">
        <w:rPr>
          <w:b/>
          <w:bCs/>
        </w:rPr>
        <w:t>KINRIX</w:t>
      </w:r>
      <w:r w:rsidRPr="002D3E3D">
        <w:rPr>
          <w:szCs w:val="24"/>
          <w:vertAlign w:val="superscript"/>
        </w:rPr>
        <w:t>®</w:t>
      </w:r>
      <w:r w:rsidRPr="002D3E3D">
        <w:rPr>
          <w:b/>
          <w:bCs/>
          <w:szCs w:val="24"/>
          <w:vertAlign w:val="superscript"/>
        </w:rPr>
        <w:t xml:space="preserve"> </w:t>
      </w:r>
      <w:r w:rsidRPr="002D3E3D">
        <w:rPr>
          <w:bCs/>
          <w:szCs w:val="24"/>
        </w:rPr>
        <w:t xml:space="preserve">is </w:t>
      </w:r>
      <w:r w:rsidRPr="002D3E3D">
        <w:t xml:space="preserve">available in 0.5 mL single dose vials and in </w:t>
      </w:r>
      <w:r w:rsidRPr="002D3E3D">
        <w:rPr>
          <w:szCs w:val="24"/>
        </w:rPr>
        <w:t>prefilled TIP-LOK</w:t>
      </w:r>
      <w:r w:rsidRPr="002D3E3D">
        <w:rPr>
          <w:sz w:val="23"/>
          <w:szCs w:val="23"/>
        </w:rPr>
        <w:t xml:space="preserve"> </w:t>
      </w:r>
      <w:r w:rsidRPr="002D3E3D">
        <w:t>syringes.</w:t>
      </w:r>
    </w:p>
    <w:p w:rsidR="00C45803" w:rsidRDefault="00C45803" w:rsidP="00C45803">
      <w:pPr>
        <w:autoSpaceDE w:val="0"/>
        <w:autoSpaceDN w:val="0"/>
        <w:adjustRightInd w:val="0"/>
        <w:rPr>
          <w:rFonts w:ascii="Times New Roman Bold"/>
          <w:b/>
          <w:u w:val="single"/>
        </w:rPr>
      </w:pPr>
    </w:p>
    <w:p w:rsidR="00C45803" w:rsidRPr="002D3E3D" w:rsidRDefault="00C45803" w:rsidP="00C45803">
      <w:pPr>
        <w:autoSpaceDE w:val="0"/>
        <w:autoSpaceDN w:val="0"/>
        <w:adjustRightInd w:val="0"/>
        <w:spacing w:after="120"/>
        <w:rPr>
          <w:rFonts w:ascii="Times New Roman Bold"/>
          <w:b/>
          <w:u w:val="single"/>
        </w:rPr>
      </w:pPr>
      <w:r w:rsidRPr="002D3E3D">
        <w:rPr>
          <w:rFonts w:ascii="Times New Roman Bold"/>
          <w:b/>
          <w:u w:val="single"/>
        </w:rPr>
        <w:t>Preparation for Administration</w:t>
      </w:r>
    </w:p>
    <w:p w:rsidR="00C45803" w:rsidRPr="002D3E3D" w:rsidRDefault="00C45803" w:rsidP="00C45803">
      <w:pPr>
        <w:jc w:val="both"/>
        <w:rPr>
          <w:b/>
          <w:u w:val="single"/>
        </w:rPr>
      </w:pPr>
      <w:r w:rsidRPr="002D3E3D">
        <w:rPr>
          <w:rFonts w:ascii="Times New Roman Bold"/>
          <w:b/>
          <w:szCs w:val="24"/>
        </w:rPr>
        <w:t>Shake vigorously to obtain a homogeneous, turbid, white suspension.  DO NOT USE if resuspension does not occur with vigorous shaking.</w:t>
      </w:r>
    </w:p>
    <w:p w:rsidR="00C45803" w:rsidRDefault="00C45803" w:rsidP="00C45803">
      <w:pPr>
        <w:autoSpaceDE w:val="0"/>
        <w:autoSpaceDN w:val="0"/>
        <w:adjustRightInd w:val="0"/>
        <w:spacing w:after="120"/>
        <w:rPr>
          <w:b/>
          <w:szCs w:val="24"/>
          <w:u w:val="single"/>
        </w:rPr>
      </w:pPr>
    </w:p>
    <w:p w:rsidR="00C45803" w:rsidRPr="002D3E3D" w:rsidRDefault="00C45803" w:rsidP="00C45803">
      <w:pPr>
        <w:autoSpaceDE w:val="0"/>
        <w:autoSpaceDN w:val="0"/>
        <w:adjustRightInd w:val="0"/>
        <w:spacing w:after="120"/>
        <w:rPr>
          <w:b/>
          <w:szCs w:val="24"/>
          <w:u w:val="single"/>
        </w:rPr>
      </w:pPr>
      <w:r w:rsidRPr="002D3E3D">
        <w:rPr>
          <w:b/>
          <w:szCs w:val="24"/>
          <w:u w:val="single"/>
        </w:rPr>
        <w:t xml:space="preserve">Anatomical Site </w:t>
      </w:r>
    </w:p>
    <w:p w:rsidR="00C45803" w:rsidRPr="002D3E3D" w:rsidRDefault="00C45803" w:rsidP="00C45803">
      <w:pPr>
        <w:autoSpaceDE w:val="0"/>
        <w:autoSpaceDN w:val="0"/>
        <w:adjustRightInd w:val="0"/>
        <w:spacing w:after="120"/>
        <w:rPr>
          <w:szCs w:val="24"/>
        </w:rPr>
      </w:pPr>
      <w:r w:rsidRPr="002D3E3D">
        <w:rPr>
          <w:szCs w:val="24"/>
        </w:rPr>
        <w:t>The preferred site of administration is the deltoid muscle of the upper arm.</w:t>
      </w:r>
    </w:p>
    <w:p w:rsidR="00C45803" w:rsidRPr="002D3E3D" w:rsidRDefault="00C45803" w:rsidP="00C45803">
      <w:pPr>
        <w:autoSpaceDE w:val="0"/>
        <w:autoSpaceDN w:val="0"/>
        <w:adjustRightInd w:val="0"/>
        <w:rPr>
          <w:rFonts w:ascii="Times New Roman Bold" w:hAnsi="Times New Roman Bold"/>
          <w:b/>
          <w:bCs/>
          <w:sz w:val="28"/>
          <w:szCs w:val="28"/>
        </w:rPr>
      </w:pPr>
      <w:r w:rsidRPr="002D3E3D">
        <w:rPr>
          <w:b/>
          <w:bCs/>
        </w:rPr>
        <w:t>Do not administer KINRIX</w:t>
      </w:r>
      <w:r w:rsidRPr="002D3E3D">
        <w:rPr>
          <w:b/>
          <w:szCs w:val="24"/>
          <w:vertAlign w:val="superscript"/>
        </w:rPr>
        <w:t>®</w:t>
      </w:r>
      <w:r w:rsidRPr="002D3E3D">
        <w:rPr>
          <w:b/>
          <w:bCs/>
        </w:rPr>
        <w:t xml:space="preserve"> intravenously, </w:t>
      </w:r>
      <w:proofErr w:type="spellStart"/>
      <w:r w:rsidRPr="002D3E3D">
        <w:rPr>
          <w:b/>
          <w:bCs/>
        </w:rPr>
        <w:t>intradermally</w:t>
      </w:r>
      <w:proofErr w:type="spellEnd"/>
      <w:r w:rsidRPr="002D3E3D">
        <w:rPr>
          <w:b/>
          <w:bCs/>
        </w:rPr>
        <w:t xml:space="preserve"> or subcutaneously.</w:t>
      </w:r>
      <w:r w:rsidRPr="002D3E3D">
        <w:rPr>
          <w:b/>
          <w:bCs/>
          <w:sz w:val="28"/>
          <w:szCs w:val="28"/>
          <w:vertAlign w:val="superscript"/>
        </w:rPr>
        <w:t xml:space="preserve"> </w:t>
      </w:r>
    </w:p>
    <w:p w:rsidR="00C45803" w:rsidRPr="002D3E3D" w:rsidRDefault="00C45803" w:rsidP="00C45803">
      <w:pPr>
        <w:autoSpaceDE w:val="0"/>
        <w:autoSpaceDN w:val="0"/>
        <w:adjustRightInd w:val="0"/>
        <w:rPr>
          <w:b/>
          <w:szCs w:val="24"/>
          <w:u w:val="single"/>
        </w:rPr>
      </w:pPr>
    </w:p>
    <w:p w:rsidR="00C45803" w:rsidRPr="002D3E3D" w:rsidRDefault="00C45803" w:rsidP="00C45803">
      <w:pPr>
        <w:autoSpaceDE w:val="0"/>
        <w:autoSpaceDN w:val="0"/>
        <w:adjustRightInd w:val="0"/>
        <w:spacing w:after="120"/>
        <w:rPr>
          <w:b/>
          <w:szCs w:val="24"/>
          <w:u w:val="single"/>
        </w:rPr>
      </w:pPr>
      <w:r w:rsidRPr="002D3E3D">
        <w:rPr>
          <w:b/>
          <w:szCs w:val="24"/>
          <w:u w:val="single"/>
        </w:rPr>
        <w:t>Precautions</w:t>
      </w:r>
    </w:p>
    <w:p w:rsidR="00C45803" w:rsidRPr="002D3E3D" w:rsidRDefault="00C45803" w:rsidP="00C45803">
      <w:pPr>
        <w:tabs>
          <w:tab w:val="left" w:pos="3240"/>
        </w:tabs>
        <w:autoSpaceDE w:val="0"/>
        <w:autoSpaceDN w:val="0"/>
        <w:adjustRightInd w:val="0"/>
        <w:spacing w:after="120"/>
        <w:rPr>
          <w:szCs w:val="24"/>
        </w:rPr>
      </w:pPr>
      <w:r w:rsidRPr="002D3E3D">
        <w:rPr>
          <w:szCs w:val="24"/>
        </w:rPr>
        <w:t xml:space="preserve">If </w:t>
      </w:r>
      <w:proofErr w:type="spellStart"/>
      <w:r w:rsidRPr="002D3E3D">
        <w:rPr>
          <w:szCs w:val="24"/>
        </w:rPr>
        <w:t>Guillain-Barr</w:t>
      </w:r>
      <w:r w:rsidRPr="002D3E3D">
        <w:rPr>
          <w:rFonts w:ascii="Constantia" w:hAnsi="Constantia"/>
          <w:szCs w:val="24"/>
        </w:rPr>
        <w:t>é</w:t>
      </w:r>
      <w:proofErr w:type="spellEnd"/>
      <w:r w:rsidRPr="002D3E3D">
        <w:rPr>
          <w:szCs w:val="24"/>
        </w:rPr>
        <w:t xml:space="preserve"> syndrome occurs within 6 weeks of receipt of a prior vaccine containing tetanus toxoid, the decision to give any tetanus toxoid-containing vaccine, including </w:t>
      </w:r>
      <w:r w:rsidRPr="002D3E3D">
        <w:rPr>
          <w:b/>
          <w:szCs w:val="24"/>
        </w:rPr>
        <w:t>KINRIX</w:t>
      </w:r>
      <w:r w:rsidRPr="002D3E3D">
        <w:rPr>
          <w:b/>
          <w:szCs w:val="24"/>
          <w:vertAlign w:val="superscript"/>
        </w:rPr>
        <w:t>®</w:t>
      </w:r>
      <w:r w:rsidRPr="002D3E3D">
        <w:rPr>
          <w:szCs w:val="24"/>
        </w:rPr>
        <w:t xml:space="preserve">, </w:t>
      </w:r>
      <w:proofErr w:type="gramStart"/>
      <w:r w:rsidRPr="002D3E3D">
        <w:rPr>
          <w:szCs w:val="24"/>
        </w:rPr>
        <w:t>should be based</w:t>
      </w:r>
      <w:proofErr w:type="gramEnd"/>
      <w:r w:rsidRPr="002D3E3D">
        <w:rPr>
          <w:szCs w:val="24"/>
        </w:rPr>
        <w:t xml:space="preserve"> on careful consideration of the potential benefits and possible risks.  When a decision </w:t>
      </w:r>
      <w:proofErr w:type="gramStart"/>
      <w:r w:rsidRPr="002D3E3D">
        <w:rPr>
          <w:szCs w:val="24"/>
        </w:rPr>
        <w:t>is made</w:t>
      </w:r>
      <w:proofErr w:type="gramEnd"/>
      <w:r w:rsidRPr="002D3E3D">
        <w:rPr>
          <w:szCs w:val="24"/>
        </w:rPr>
        <w:t xml:space="preserve"> to withhold tetanus toxoid, other available vaccines should be given as indicated.</w:t>
      </w:r>
    </w:p>
    <w:p w:rsidR="00C45803" w:rsidRDefault="00C45803" w:rsidP="00C45803">
      <w:pPr>
        <w:tabs>
          <w:tab w:val="left" w:pos="3240"/>
        </w:tabs>
        <w:autoSpaceDE w:val="0"/>
        <w:autoSpaceDN w:val="0"/>
        <w:adjustRightInd w:val="0"/>
        <w:rPr>
          <w:szCs w:val="24"/>
        </w:rPr>
      </w:pPr>
      <w:r w:rsidRPr="002D3E3D">
        <w:rPr>
          <w:szCs w:val="24"/>
        </w:rPr>
        <w:t xml:space="preserve">The tip cap and the rubber plunger of the needleless prefilled syringes contain dry natural latex rubber that may cause allergic reactions in latex sensitive individuals.  The vial stopper is </w:t>
      </w:r>
      <w:r>
        <w:rPr>
          <w:szCs w:val="24"/>
        </w:rPr>
        <w:br/>
      </w:r>
      <w:r w:rsidRPr="002D3E3D">
        <w:rPr>
          <w:szCs w:val="24"/>
        </w:rPr>
        <w:t>latex-free.</w:t>
      </w:r>
      <w:bookmarkStart w:id="1" w:name="_GoBack"/>
      <w:bookmarkEnd w:id="1"/>
    </w:p>
    <w:p w:rsidR="00C45803" w:rsidRDefault="00C45803" w:rsidP="00C45803">
      <w:pPr>
        <w:tabs>
          <w:tab w:val="left" w:pos="3240"/>
        </w:tabs>
        <w:autoSpaceDE w:val="0"/>
        <w:autoSpaceDN w:val="0"/>
        <w:adjustRightInd w:val="0"/>
        <w:rPr>
          <w:b/>
          <w:szCs w:val="24"/>
          <w:u w:val="single"/>
        </w:rPr>
      </w:pPr>
    </w:p>
    <w:p w:rsidR="00C45803" w:rsidRPr="002D3E3D" w:rsidRDefault="00C45803" w:rsidP="00C45803">
      <w:pPr>
        <w:tabs>
          <w:tab w:val="left" w:pos="3240"/>
        </w:tabs>
        <w:autoSpaceDE w:val="0"/>
        <w:autoSpaceDN w:val="0"/>
        <w:adjustRightInd w:val="0"/>
        <w:spacing w:after="120"/>
        <w:rPr>
          <w:b/>
          <w:szCs w:val="24"/>
          <w:u w:val="single"/>
        </w:rPr>
      </w:pPr>
      <w:r w:rsidRPr="002D3E3D">
        <w:rPr>
          <w:b/>
          <w:szCs w:val="24"/>
          <w:u w:val="single"/>
        </w:rPr>
        <w:lastRenderedPageBreak/>
        <w:t>Contraindications</w:t>
      </w:r>
    </w:p>
    <w:p w:rsidR="00C45803" w:rsidRPr="002D3E3D" w:rsidRDefault="00C45803" w:rsidP="00C45803">
      <w:pPr>
        <w:tabs>
          <w:tab w:val="left" w:pos="3240"/>
        </w:tabs>
        <w:autoSpaceDE w:val="0"/>
        <w:autoSpaceDN w:val="0"/>
        <w:adjustRightInd w:val="0"/>
        <w:rPr>
          <w:szCs w:val="24"/>
        </w:rPr>
      </w:pPr>
      <w:r w:rsidRPr="002D3E3D">
        <w:rPr>
          <w:szCs w:val="24"/>
        </w:rPr>
        <w:t>Individuals with:</w:t>
      </w:r>
    </w:p>
    <w:p w:rsidR="00C45803" w:rsidRPr="002D3E3D" w:rsidRDefault="00C45803" w:rsidP="00C45803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/>
        <w:rPr>
          <w:szCs w:val="24"/>
        </w:rPr>
      </w:pPr>
      <w:r w:rsidRPr="002D3E3D">
        <w:rPr>
          <w:szCs w:val="24"/>
        </w:rPr>
        <w:t xml:space="preserve">Anaphylactic reaction to previous dose of any diphtheria toxoid, tetanus toxoid, pertussis or poliovirus-containing vaccine, or to any component of </w:t>
      </w:r>
      <w:r w:rsidRPr="002D3E3D">
        <w:rPr>
          <w:b/>
          <w:szCs w:val="24"/>
        </w:rPr>
        <w:t>KINRIX</w:t>
      </w:r>
      <w:r w:rsidRPr="002D3E3D">
        <w:rPr>
          <w:b/>
          <w:szCs w:val="24"/>
          <w:vertAlign w:val="superscript"/>
        </w:rPr>
        <w:t>®</w:t>
      </w:r>
      <w:r w:rsidRPr="002D3E3D">
        <w:rPr>
          <w:szCs w:val="24"/>
        </w:rPr>
        <w:t xml:space="preserve">, including neomycin and </w:t>
      </w:r>
      <w:proofErr w:type="spellStart"/>
      <w:r w:rsidRPr="002D3E3D">
        <w:rPr>
          <w:szCs w:val="24"/>
        </w:rPr>
        <w:t>polymyxin</w:t>
      </w:r>
      <w:proofErr w:type="spellEnd"/>
      <w:r w:rsidRPr="002D3E3D">
        <w:rPr>
          <w:szCs w:val="24"/>
        </w:rPr>
        <w:t xml:space="preserve"> B (see package insert).  Because of the uncertainty as to which component of the vaccine might be responsible, no further vaccination with any of these components </w:t>
      </w:r>
      <w:proofErr w:type="gramStart"/>
      <w:r w:rsidRPr="002D3E3D">
        <w:rPr>
          <w:szCs w:val="24"/>
        </w:rPr>
        <w:t>should be given</w:t>
      </w:r>
      <w:proofErr w:type="gramEnd"/>
      <w:r w:rsidRPr="002D3E3D">
        <w:rPr>
          <w:szCs w:val="24"/>
        </w:rPr>
        <w:t xml:space="preserve">.  Alternatively, such individuals </w:t>
      </w:r>
      <w:proofErr w:type="gramStart"/>
      <w:r w:rsidRPr="002D3E3D">
        <w:rPr>
          <w:szCs w:val="24"/>
        </w:rPr>
        <w:t>may be referred</w:t>
      </w:r>
      <w:proofErr w:type="gramEnd"/>
      <w:r w:rsidRPr="002D3E3D">
        <w:rPr>
          <w:szCs w:val="24"/>
        </w:rPr>
        <w:t xml:space="preserve"> to an allergist for evaluation if immunization with any of these components is considered. </w:t>
      </w:r>
    </w:p>
    <w:p w:rsidR="00C45803" w:rsidRPr="002D3E3D" w:rsidRDefault="00C45803" w:rsidP="00C45803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/>
        <w:rPr>
          <w:szCs w:val="24"/>
        </w:rPr>
      </w:pPr>
      <w:r w:rsidRPr="002D3E3D">
        <w:rPr>
          <w:szCs w:val="24"/>
        </w:rPr>
        <w:t xml:space="preserve">Encephalopathy within 7 days of administration of a previous dose of a pertussis containing vaccine. </w:t>
      </w:r>
    </w:p>
    <w:p w:rsidR="00C45803" w:rsidRPr="002D3E3D" w:rsidRDefault="00C45803" w:rsidP="00C45803">
      <w:pPr>
        <w:numPr>
          <w:ilvl w:val="0"/>
          <w:numId w:val="4"/>
        </w:numPr>
        <w:tabs>
          <w:tab w:val="left" w:pos="3240"/>
        </w:tabs>
        <w:autoSpaceDE w:val="0"/>
        <w:autoSpaceDN w:val="0"/>
        <w:adjustRightInd w:val="0"/>
        <w:spacing w:after="120"/>
      </w:pPr>
      <w:r w:rsidRPr="002D3E3D">
        <w:t>Progressive neurologic disorder, including infantile spasms, uncontrolled epilepsy, or progressive encephalopathy is a contraindication of any pertussis-containing vaccine.</w:t>
      </w:r>
    </w:p>
    <w:p w:rsidR="00C45803" w:rsidRPr="002D3E3D" w:rsidRDefault="00C45803" w:rsidP="00C45803">
      <w:pPr>
        <w:autoSpaceDE w:val="0"/>
        <w:autoSpaceDN w:val="0"/>
        <w:adjustRightInd w:val="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rPr>
          <w:szCs w:val="24"/>
        </w:rPr>
      </w:pPr>
      <w:r w:rsidRPr="002D3E3D">
        <w:rPr>
          <w:b/>
          <w:szCs w:val="24"/>
          <w:u w:val="single"/>
        </w:rPr>
        <w:t xml:space="preserve">Adverse Events </w:t>
      </w:r>
    </w:p>
    <w:p w:rsidR="00C45803" w:rsidRPr="0074546F" w:rsidRDefault="00C45803" w:rsidP="00C4580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szCs w:val="24"/>
          <w:u w:val="single"/>
        </w:rPr>
      </w:pPr>
      <w:r w:rsidRPr="0074546F">
        <w:rPr>
          <w:szCs w:val="24"/>
        </w:rPr>
        <w:t>See the product’s package insert</w:t>
      </w:r>
    </w:p>
    <w:p w:rsidR="00C45803" w:rsidRPr="004B5F3E" w:rsidRDefault="00C45803" w:rsidP="00C4580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4B5F3E">
        <w:rPr>
          <w:sz w:val="22"/>
          <w:szCs w:val="22"/>
        </w:rPr>
        <w:t>See Adverse Events Following Vaccinations</w:t>
      </w:r>
      <w:r>
        <w:rPr>
          <w:sz w:val="22"/>
          <w:szCs w:val="22"/>
        </w:rPr>
        <w:t xml:space="preserve"> page of this section</w:t>
      </w:r>
      <w:r w:rsidRPr="004B5F3E">
        <w:rPr>
          <w:color w:val="0000FF"/>
          <w:szCs w:val="24"/>
        </w:rPr>
        <w:t xml:space="preserve">  </w:t>
      </w:r>
    </w:p>
    <w:p w:rsidR="00C45803" w:rsidRPr="000C75AE" w:rsidRDefault="00C45803" w:rsidP="00C45803">
      <w:pPr>
        <w:pStyle w:val="ListParagraph"/>
        <w:autoSpaceDE w:val="0"/>
        <w:autoSpaceDN w:val="0"/>
        <w:adjustRightInd w:val="0"/>
        <w:rPr>
          <w:b/>
          <w:u w:val="single"/>
        </w:rPr>
      </w:pPr>
    </w:p>
    <w:p w:rsidR="00C45803" w:rsidRPr="002D3E3D" w:rsidRDefault="00C45803" w:rsidP="00C45803">
      <w:pPr>
        <w:autoSpaceDE w:val="0"/>
        <w:autoSpaceDN w:val="0"/>
        <w:adjustRightInd w:val="0"/>
        <w:spacing w:after="120"/>
        <w:rPr>
          <w:b/>
          <w:szCs w:val="24"/>
          <w:u w:val="single"/>
        </w:rPr>
      </w:pPr>
      <w:r w:rsidRPr="002D3E3D">
        <w:rPr>
          <w:b/>
          <w:szCs w:val="24"/>
          <w:u w:val="single"/>
        </w:rPr>
        <w:t>Storage and Handling</w:t>
      </w:r>
    </w:p>
    <w:p w:rsidR="00C45803" w:rsidRPr="002D3E3D" w:rsidRDefault="00C45803" w:rsidP="00C45803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b/>
          <w:szCs w:val="24"/>
          <w:u w:val="single"/>
        </w:rPr>
      </w:pPr>
      <w:r w:rsidRPr="002D3E3D">
        <w:rPr>
          <w:szCs w:val="24"/>
        </w:rPr>
        <w:t>Store in refrigerator at 36</w:t>
      </w:r>
      <w:r w:rsidRPr="002D3E3D">
        <w:rPr>
          <w:szCs w:val="24"/>
          <w:vertAlign w:val="superscript"/>
        </w:rPr>
        <w:t>o</w:t>
      </w:r>
      <w:r w:rsidRPr="002D3E3D">
        <w:rPr>
          <w:szCs w:val="24"/>
        </w:rPr>
        <w:t>F – 46</w:t>
      </w:r>
      <w:r w:rsidRPr="002D3E3D">
        <w:rPr>
          <w:szCs w:val="24"/>
          <w:vertAlign w:val="superscript"/>
        </w:rPr>
        <w:t>o</w:t>
      </w:r>
      <w:r w:rsidRPr="002D3E3D">
        <w:rPr>
          <w:szCs w:val="24"/>
        </w:rPr>
        <w:t>F (2</w:t>
      </w:r>
      <w:r w:rsidRPr="002D3E3D">
        <w:rPr>
          <w:szCs w:val="24"/>
          <w:vertAlign w:val="superscript"/>
        </w:rPr>
        <w:t>o</w:t>
      </w:r>
      <w:r w:rsidRPr="002D3E3D">
        <w:rPr>
          <w:szCs w:val="24"/>
        </w:rPr>
        <w:t>C – 8</w:t>
      </w:r>
      <w:r w:rsidRPr="002D3E3D">
        <w:rPr>
          <w:szCs w:val="24"/>
          <w:vertAlign w:val="superscript"/>
        </w:rPr>
        <w:t>o</w:t>
      </w:r>
      <w:r w:rsidRPr="002D3E3D">
        <w:rPr>
          <w:szCs w:val="24"/>
        </w:rPr>
        <w:t>C)</w:t>
      </w:r>
    </w:p>
    <w:p w:rsidR="00C45803" w:rsidRPr="002D3E3D" w:rsidRDefault="00C45803" w:rsidP="00C45803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szCs w:val="24"/>
        </w:rPr>
      </w:pPr>
      <w:r w:rsidRPr="002D3E3D">
        <w:rPr>
          <w:szCs w:val="24"/>
        </w:rPr>
        <w:t xml:space="preserve">DO NOT FREEZE; discard if product </w:t>
      </w:r>
      <w:proofErr w:type="gramStart"/>
      <w:r w:rsidRPr="002D3E3D">
        <w:rPr>
          <w:szCs w:val="24"/>
        </w:rPr>
        <w:t>has been frozen</w:t>
      </w:r>
      <w:proofErr w:type="gramEnd"/>
      <w:r w:rsidRPr="002D3E3D">
        <w:rPr>
          <w:szCs w:val="24"/>
        </w:rPr>
        <w:t>.</w:t>
      </w:r>
    </w:p>
    <w:p w:rsidR="00C45803" w:rsidRPr="002D3E3D" w:rsidRDefault="00C45803" w:rsidP="00C45803">
      <w:pPr>
        <w:autoSpaceDE w:val="0"/>
        <w:autoSpaceDN w:val="0"/>
        <w:adjustRightInd w:val="0"/>
        <w:rPr>
          <w:b/>
          <w:szCs w:val="24"/>
          <w:u w:val="single"/>
        </w:rPr>
      </w:pPr>
    </w:p>
    <w:p w:rsidR="00C45803" w:rsidRPr="002D3E3D" w:rsidRDefault="00C45803" w:rsidP="00C45803">
      <w:pPr>
        <w:autoSpaceDE w:val="0"/>
        <w:autoSpaceDN w:val="0"/>
        <w:adjustRightInd w:val="0"/>
        <w:rPr>
          <w:bCs/>
        </w:rPr>
      </w:pPr>
      <w:r w:rsidRPr="002D3E3D">
        <w:rPr>
          <w:b/>
          <w:szCs w:val="24"/>
          <w:u w:val="single"/>
        </w:rPr>
        <w:t>Additional Information:</w:t>
      </w:r>
    </w:p>
    <w:p w:rsidR="00C45803" w:rsidRPr="002D3E3D" w:rsidRDefault="00C45803" w:rsidP="00C45803">
      <w:pPr>
        <w:numPr>
          <w:ilvl w:val="0"/>
          <w:numId w:val="3"/>
        </w:numPr>
        <w:spacing w:before="100" w:beforeAutospacing="1" w:after="100" w:afterAutospacing="1"/>
        <w:ind w:left="1080"/>
        <w:rPr>
          <w:bCs/>
          <w:szCs w:val="24"/>
        </w:rPr>
      </w:pPr>
      <w:r w:rsidRPr="002D3E3D">
        <w:rPr>
          <w:szCs w:val="24"/>
        </w:rPr>
        <w:t>"</w:t>
      </w:r>
      <w:r w:rsidRPr="002D3E3D">
        <w:rPr>
          <w:b/>
          <w:szCs w:val="24"/>
        </w:rPr>
        <w:t>Indications and Guidance for Use:</w:t>
      </w:r>
      <w:r w:rsidRPr="002D3E3D">
        <w:rPr>
          <w:szCs w:val="24"/>
        </w:rPr>
        <w:t xml:space="preserve">   </w:t>
      </w:r>
      <w:proofErr w:type="spellStart"/>
      <w:r w:rsidRPr="002D3E3D">
        <w:rPr>
          <w:szCs w:val="24"/>
        </w:rPr>
        <w:t>DTaP</w:t>
      </w:r>
      <w:proofErr w:type="spellEnd"/>
      <w:r w:rsidRPr="002D3E3D">
        <w:rPr>
          <w:szCs w:val="24"/>
        </w:rPr>
        <w:t>-IPV (</w:t>
      </w:r>
      <w:r w:rsidRPr="002D3E3D">
        <w:rPr>
          <w:b/>
          <w:szCs w:val="24"/>
        </w:rPr>
        <w:t>KINRIX</w:t>
      </w:r>
      <w:r w:rsidRPr="002D3E3D">
        <w:rPr>
          <w:b/>
          <w:szCs w:val="24"/>
          <w:vertAlign w:val="superscript"/>
        </w:rPr>
        <w:t>®</w:t>
      </w:r>
      <w:r w:rsidRPr="002D3E3D">
        <w:rPr>
          <w:szCs w:val="24"/>
        </w:rPr>
        <w:t xml:space="preserve">) is indicated for use as the fifth dose of </w:t>
      </w:r>
      <w:proofErr w:type="spellStart"/>
      <w:r w:rsidRPr="002D3E3D">
        <w:rPr>
          <w:szCs w:val="24"/>
        </w:rPr>
        <w:t>DTaP</w:t>
      </w:r>
      <w:proofErr w:type="spellEnd"/>
      <w:r w:rsidRPr="002D3E3D">
        <w:rPr>
          <w:szCs w:val="24"/>
        </w:rPr>
        <w:t xml:space="preserve"> and fourth dose of IPV in children aged 4 </w:t>
      </w:r>
      <w:r>
        <w:rPr>
          <w:szCs w:val="24"/>
        </w:rPr>
        <w:t>through</w:t>
      </w:r>
      <w:r w:rsidRPr="002D3E3D">
        <w:rPr>
          <w:szCs w:val="24"/>
        </w:rPr>
        <w:t xml:space="preserve"> 6 years who received </w:t>
      </w:r>
      <w:proofErr w:type="spellStart"/>
      <w:r w:rsidRPr="002D3E3D">
        <w:rPr>
          <w:szCs w:val="24"/>
        </w:rPr>
        <w:t>DTaP</w:t>
      </w:r>
      <w:proofErr w:type="spellEnd"/>
      <w:r w:rsidRPr="002D3E3D">
        <w:rPr>
          <w:szCs w:val="24"/>
        </w:rPr>
        <w:t xml:space="preserve"> (INFANRIX) and/or </w:t>
      </w:r>
      <w:proofErr w:type="spellStart"/>
      <w:r w:rsidRPr="002D3E3D">
        <w:rPr>
          <w:szCs w:val="24"/>
        </w:rPr>
        <w:t>DTaP</w:t>
      </w:r>
      <w:proofErr w:type="spellEnd"/>
      <w:r w:rsidRPr="002D3E3D">
        <w:rPr>
          <w:szCs w:val="24"/>
        </w:rPr>
        <w:t xml:space="preserve">-Hepatitis B-IPV (PEDIARIX) as the first 3 doses and </w:t>
      </w:r>
      <w:proofErr w:type="spellStart"/>
      <w:r w:rsidRPr="002D3E3D">
        <w:rPr>
          <w:szCs w:val="24"/>
        </w:rPr>
        <w:t>DTaP</w:t>
      </w:r>
      <w:proofErr w:type="spellEnd"/>
      <w:r w:rsidRPr="002D3E3D">
        <w:rPr>
          <w:szCs w:val="24"/>
        </w:rPr>
        <w:t xml:space="preserve"> (INFANRIX) as the fourth dose (</w:t>
      </w:r>
      <w:hyperlink r:id="rId7" w:history="1">
        <w:r w:rsidRPr="002D3E3D">
          <w:rPr>
            <w:i/>
            <w:iCs/>
            <w:color w:val="0000FF"/>
            <w:szCs w:val="24"/>
            <w:u w:val="single"/>
          </w:rPr>
          <w:t>1</w:t>
        </w:r>
      </w:hyperlink>
      <w:r w:rsidRPr="002D3E3D">
        <w:rPr>
          <w:i/>
          <w:iCs/>
          <w:szCs w:val="24"/>
        </w:rPr>
        <w:t>,2</w:t>
      </w:r>
      <w:r w:rsidRPr="002D3E3D">
        <w:rPr>
          <w:szCs w:val="24"/>
        </w:rPr>
        <w:t xml:space="preserve">).  This vaccine should not be administered to children aged </w:t>
      </w:r>
      <w:r>
        <w:rPr>
          <w:szCs w:val="24"/>
        </w:rPr>
        <w:t xml:space="preserve">less than </w:t>
      </w:r>
      <w:r w:rsidRPr="002D3E3D">
        <w:rPr>
          <w:szCs w:val="24"/>
        </w:rPr>
        <w:t xml:space="preserve">4 years or </w:t>
      </w:r>
      <w:r>
        <w:rPr>
          <w:szCs w:val="24"/>
          <w:u w:val="single"/>
        </w:rPr>
        <w:t xml:space="preserve">aged </w:t>
      </w:r>
      <w:r w:rsidRPr="002D3E3D">
        <w:rPr>
          <w:szCs w:val="24"/>
        </w:rPr>
        <w:t>7 years</w:t>
      </w:r>
      <w:r>
        <w:rPr>
          <w:szCs w:val="24"/>
        </w:rPr>
        <w:t xml:space="preserve"> and older</w:t>
      </w:r>
      <w:r w:rsidRPr="002D3E3D">
        <w:rPr>
          <w:szCs w:val="24"/>
        </w:rPr>
        <w:t xml:space="preserve">; however, if </w:t>
      </w:r>
      <w:proofErr w:type="spellStart"/>
      <w:r w:rsidRPr="002D3E3D">
        <w:rPr>
          <w:szCs w:val="24"/>
        </w:rPr>
        <w:t>DTaP</w:t>
      </w:r>
      <w:proofErr w:type="spellEnd"/>
      <w:r w:rsidRPr="002D3E3D">
        <w:rPr>
          <w:szCs w:val="24"/>
        </w:rPr>
        <w:t>-IPV (</w:t>
      </w:r>
      <w:r w:rsidRPr="002D3E3D">
        <w:rPr>
          <w:b/>
          <w:szCs w:val="24"/>
        </w:rPr>
        <w:t>KINRIX</w:t>
      </w:r>
      <w:r w:rsidRPr="002D3E3D">
        <w:rPr>
          <w:b/>
          <w:szCs w:val="24"/>
          <w:vertAlign w:val="superscript"/>
        </w:rPr>
        <w:t>®</w:t>
      </w:r>
      <w:r w:rsidRPr="002D3E3D">
        <w:rPr>
          <w:szCs w:val="24"/>
        </w:rPr>
        <w:t xml:space="preserve">) is inadvertently administered for an earlier dose of the </w:t>
      </w:r>
      <w:proofErr w:type="spellStart"/>
      <w:r w:rsidRPr="002D3E3D">
        <w:rPr>
          <w:szCs w:val="24"/>
        </w:rPr>
        <w:t>DTaP</w:t>
      </w:r>
      <w:proofErr w:type="spellEnd"/>
      <w:r w:rsidRPr="002D3E3D">
        <w:rPr>
          <w:szCs w:val="24"/>
        </w:rPr>
        <w:t xml:space="preserve"> and/or IPV series, the dose should be counted as valid and does not need to be repeated provided minimum interval requirements have been met (</w:t>
      </w:r>
      <w:hyperlink r:id="rId8" w:history="1">
        <w:r w:rsidRPr="002D3E3D">
          <w:rPr>
            <w:i/>
            <w:iCs/>
            <w:color w:val="0000FF"/>
            <w:szCs w:val="24"/>
            <w:u w:val="single"/>
          </w:rPr>
          <w:t>5</w:t>
        </w:r>
      </w:hyperlink>
      <w:r w:rsidRPr="002D3E3D">
        <w:rPr>
          <w:szCs w:val="24"/>
        </w:rPr>
        <w:t xml:space="preserve">).  </w:t>
      </w:r>
      <w:r w:rsidRPr="002D3E3D">
        <w:rPr>
          <w:b/>
          <w:bCs/>
          <w:szCs w:val="24"/>
        </w:rPr>
        <w:t xml:space="preserve">Data are limited on the safety and immunogenicity of interchanging </w:t>
      </w:r>
      <w:proofErr w:type="spellStart"/>
      <w:r w:rsidRPr="002D3E3D">
        <w:rPr>
          <w:b/>
          <w:bCs/>
          <w:szCs w:val="24"/>
        </w:rPr>
        <w:t>DTaP</w:t>
      </w:r>
      <w:proofErr w:type="spellEnd"/>
      <w:r w:rsidRPr="002D3E3D">
        <w:rPr>
          <w:b/>
          <w:bCs/>
          <w:szCs w:val="24"/>
        </w:rPr>
        <w:t xml:space="preserve"> vaccines from different manufacturers (</w:t>
      </w:r>
      <w:r w:rsidRPr="002D3E3D">
        <w:rPr>
          <w:b/>
          <w:bCs/>
          <w:i/>
          <w:iCs/>
          <w:szCs w:val="24"/>
        </w:rPr>
        <w:t>6</w:t>
      </w:r>
      <w:r w:rsidRPr="002D3E3D">
        <w:rPr>
          <w:b/>
          <w:bCs/>
          <w:szCs w:val="24"/>
        </w:rPr>
        <w:t xml:space="preserve">).  ACIP recommends that, whenever feasible, the same manufacturer's </w:t>
      </w:r>
      <w:proofErr w:type="spellStart"/>
      <w:r w:rsidRPr="002D3E3D">
        <w:rPr>
          <w:b/>
          <w:bCs/>
          <w:szCs w:val="24"/>
        </w:rPr>
        <w:t>DTaP</w:t>
      </w:r>
      <w:proofErr w:type="spellEnd"/>
      <w:r w:rsidRPr="002D3E3D">
        <w:rPr>
          <w:b/>
          <w:bCs/>
          <w:szCs w:val="24"/>
        </w:rPr>
        <w:t xml:space="preserve"> vaccines should be used for each dose in the series; however, vaccination should not be deferred because the type of </w:t>
      </w:r>
      <w:proofErr w:type="spellStart"/>
      <w:r w:rsidRPr="002D3E3D">
        <w:rPr>
          <w:b/>
          <w:bCs/>
          <w:szCs w:val="24"/>
        </w:rPr>
        <w:t>DTaP</w:t>
      </w:r>
      <w:proofErr w:type="spellEnd"/>
      <w:r w:rsidRPr="002D3E3D">
        <w:rPr>
          <w:b/>
          <w:bCs/>
          <w:szCs w:val="24"/>
        </w:rPr>
        <w:t xml:space="preserve"> previously administered is unavailable or unknown.”  (MMWR </w:t>
      </w:r>
      <w:r w:rsidRPr="002D3E3D">
        <w:rPr>
          <w:bCs/>
          <w:szCs w:val="24"/>
        </w:rPr>
        <w:t>October 3, 2008 / 57(39);1078-1079)</w:t>
      </w:r>
    </w:p>
    <w:p w:rsidR="00C45803" w:rsidRPr="001A366D" w:rsidRDefault="00C45803" w:rsidP="00C45803">
      <w:pPr>
        <w:ind w:left="1080"/>
        <w:rPr>
          <w:bCs/>
          <w:szCs w:val="24"/>
        </w:rPr>
      </w:pPr>
    </w:p>
    <w:p w:rsidR="00C45803" w:rsidRPr="002D3E3D" w:rsidRDefault="00C45803" w:rsidP="00C45803">
      <w:pPr>
        <w:numPr>
          <w:ilvl w:val="0"/>
          <w:numId w:val="3"/>
        </w:numPr>
        <w:ind w:left="1080"/>
        <w:rPr>
          <w:bCs/>
          <w:szCs w:val="24"/>
        </w:rPr>
      </w:pPr>
      <w:r w:rsidRPr="002D3E3D">
        <w:rPr>
          <w:szCs w:val="24"/>
        </w:rPr>
        <w:t xml:space="preserve">Vaccine Information Statements -- </w:t>
      </w:r>
      <w:r w:rsidRPr="002D3E3D">
        <w:rPr>
          <w:bCs/>
          <w:szCs w:val="24"/>
        </w:rPr>
        <w:t xml:space="preserve">There is no specific Vaccine Information Statement (VIS) for </w:t>
      </w:r>
      <w:r w:rsidRPr="002D3E3D">
        <w:rPr>
          <w:b/>
          <w:szCs w:val="24"/>
        </w:rPr>
        <w:t>KINRIX</w:t>
      </w:r>
      <w:r w:rsidRPr="002D3E3D">
        <w:rPr>
          <w:b/>
          <w:szCs w:val="24"/>
          <w:vertAlign w:val="superscript"/>
        </w:rPr>
        <w:t>®</w:t>
      </w:r>
      <w:r w:rsidRPr="002D3E3D">
        <w:rPr>
          <w:bCs/>
          <w:szCs w:val="24"/>
        </w:rPr>
        <w:t xml:space="preserve">.  When administering a combination vaccine, the VIS for the individual component vaccines </w:t>
      </w:r>
      <w:proofErr w:type="gramStart"/>
      <w:r w:rsidRPr="002D3E3D">
        <w:rPr>
          <w:bCs/>
          <w:szCs w:val="24"/>
        </w:rPr>
        <w:t>must be supplied</w:t>
      </w:r>
      <w:proofErr w:type="gramEnd"/>
      <w:r w:rsidRPr="002D3E3D">
        <w:rPr>
          <w:bCs/>
          <w:szCs w:val="24"/>
        </w:rPr>
        <w:t xml:space="preserve">. </w:t>
      </w:r>
    </w:p>
    <w:p w:rsidR="00C45803" w:rsidRDefault="00C45803" w:rsidP="00C45803">
      <w:pPr>
        <w:autoSpaceDE w:val="0"/>
        <w:autoSpaceDN w:val="0"/>
        <w:adjustRightInd w:val="0"/>
        <w:ind w:left="1080"/>
        <w:rPr>
          <w:bCs/>
          <w:szCs w:val="24"/>
        </w:rPr>
      </w:pPr>
    </w:p>
    <w:p w:rsidR="00C45803" w:rsidRPr="002D3E3D" w:rsidRDefault="00C45803" w:rsidP="00C45803">
      <w:pPr>
        <w:numPr>
          <w:ilvl w:val="0"/>
          <w:numId w:val="5"/>
        </w:numPr>
        <w:autoSpaceDE w:val="0"/>
        <w:autoSpaceDN w:val="0"/>
        <w:adjustRightInd w:val="0"/>
        <w:ind w:left="1080"/>
        <w:rPr>
          <w:bCs/>
          <w:szCs w:val="24"/>
        </w:rPr>
      </w:pPr>
      <w:r w:rsidRPr="002D3E3D">
        <w:rPr>
          <w:bCs/>
          <w:szCs w:val="24"/>
        </w:rPr>
        <w:lastRenderedPageBreak/>
        <w:t>CPT 90696</w:t>
      </w:r>
    </w:p>
    <w:p w:rsidR="00C45803" w:rsidRPr="002D3E3D" w:rsidRDefault="00C45803" w:rsidP="00C45803">
      <w:pPr>
        <w:autoSpaceDE w:val="0"/>
        <w:autoSpaceDN w:val="0"/>
        <w:adjustRightInd w:val="0"/>
        <w:ind w:left="720"/>
        <w:rPr>
          <w:bCs/>
          <w:szCs w:val="24"/>
        </w:rPr>
      </w:pPr>
    </w:p>
    <w:p w:rsidR="00C45803" w:rsidRPr="002D3E3D" w:rsidRDefault="00C45803" w:rsidP="00C45803">
      <w:pPr>
        <w:keepNext/>
        <w:keepLines/>
        <w:numPr>
          <w:ilvl w:val="0"/>
          <w:numId w:val="5"/>
        </w:numPr>
        <w:autoSpaceDE w:val="0"/>
        <w:autoSpaceDN w:val="0"/>
        <w:adjustRightInd w:val="0"/>
        <w:ind w:left="1080"/>
        <w:rPr>
          <w:bCs/>
          <w:szCs w:val="24"/>
        </w:rPr>
      </w:pPr>
      <w:r w:rsidRPr="002D3E3D">
        <w:t xml:space="preserve">ACIP has clarified the poliovirus vaccination schedule to </w:t>
      </w:r>
      <w:proofErr w:type="gramStart"/>
      <w:r w:rsidRPr="002D3E3D">
        <w:t>be used</w:t>
      </w:r>
      <w:proofErr w:type="gramEnd"/>
      <w:r w:rsidRPr="002D3E3D">
        <w:t xml:space="preserve"> for specific combination vaccines.  </w:t>
      </w:r>
      <w:r w:rsidRPr="002D3E3D">
        <w:rPr>
          <w:rFonts w:cs="Adobe Garamond Pro"/>
          <w:szCs w:val="24"/>
        </w:rPr>
        <w:t xml:space="preserve">When </w:t>
      </w:r>
      <w:proofErr w:type="spellStart"/>
      <w:r w:rsidRPr="002D3E3D">
        <w:rPr>
          <w:rFonts w:cs="Adobe Garamond Pro"/>
          <w:szCs w:val="24"/>
        </w:rPr>
        <w:t>DTaP</w:t>
      </w:r>
      <w:proofErr w:type="spellEnd"/>
      <w:r w:rsidRPr="002D3E3D">
        <w:rPr>
          <w:rFonts w:cs="Adobe Garamond Pro"/>
          <w:szCs w:val="24"/>
        </w:rPr>
        <w:t>-IPV/Hib (</w:t>
      </w:r>
      <w:proofErr w:type="spellStart"/>
      <w:r w:rsidRPr="002D3E3D">
        <w:rPr>
          <w:rFonts w:cs="Adobe Garamond Pro"/>
          <w:szCs w:val="24"/>
        </w:rPr>
        <w:t>Pentacel</w:t>
      </w:r>
      <w:proofErr w:type="spellEnd"/>
      <w:r w:rsidRPr="002D3E3D">
        <w:rPr>
          <w:rFonts w:cs="Adobe Garamond Pro"/>
          <w:szCs w:val="24"/>
        </w:rPr>
        <w:t>) is used to provide 4 doses at ages 2, 4, 6, and 15</w:t>
      </w:r>
      <w:r>
        <w:rPr>
          <w:rFonts w:cs="Adobe Garamond Pro"/>
          <w:szCs w:val="24"/>
        </w:rPr>
        <w:t xml:space="preserve"> through </w:t>
      </w:r>
      <w:r w:rsidRPr="002D3E3D">
        <w:rPr>
          <w:rFonts w:cs="Adobe Garamond Pro"/>
          <w:szCs w:val="24"/>
        </w:rPr>
        <w:t xml:space="preserve">18 months, an </w:t>
      </w:r>
      <w:r w:rsidRPr="002D3E3D">
        <w:rPr>
          <w:szCs w:val="24"/>
        </w:rPr>
        <w:t xml:space="preserve">additional booster dose of age-appropriate IPV-containing vaccine (IPV [IPOL] or </w:t>
      </w:r>
      <w:proofErr w:type="spellStart"/>
      <w:r w:rsidRPr="002D3E3D">
        <w:rPr>
          <w:szCs w:val="24"/>
        </w:rPr>
        <w:t>DTaP</w:t>
      </w:r>
      <w:proofErr w:type="spellEnd"/>
      <w:r w:rsidRPr="002D3E3D">
        <w:rPr>
          <w:szCs w:val="24"/>
        </w:rPr>
        <w:t>-IPV (</w:t>
      </w:r>
      <w:r w:rsidRPr="002D3E3D">
        <w:rPr>
          <w:b/>
          <w:szCs w:val="24"/>
        </w:rPr>
        <w:t>KINRIX</w:t>
      </w:r>
      <w:r w:rsidRPr="002D3E3D">
        <w:rPr>
          <w:b/>
          <w:szCs w:val="24"/>
          <w:vertAlign w:val="superscript"/>
        </w:rPr>
        <w:t>®</w:t>
      </w:r>
      <w:r w:rsidRPr="002D3E3D">
        <w:rPr>
          <w:szCs w:val="24"/>
        </w:rPr>
        <w:t>]) should be administered at age 4</w:t>
      </w:r>
      <w:r>
        <w:rPr>
          <w:szCs w:val="24"/>
        </w:rPr>
        <w:t xml:space="preserve"> through </w:t>
      </w:r>
      <w:r w:rsidRPr="002D3E3D">
        <w:rPr>
          <w:szCs w:val="24"/>
        </w:rPr>
        <w:t xml:space="preserve">6 years.  This will result in a 5-dose IPV vaccine series, which </w:t>
      </w:r>
      <w:proofErr w:type="gramStart"/>
      <w:r w:rsidRPr="002D3E3D">
        <w:rPr>
          <w:szCs w:val="24"/>
        </w:rPr>
        <w:t>is considered</w:t>
      </w:r>
      <w:proofErr w:type="gramEnd"/>
      <w:r w:rsidRPr="002D3E3D">
        <w:rPr>
          <w:szCs w:val="24"/>
        </w:rPr>
        <w:t xml:space="preserve"> acceptable by ACIP.  </w:t>
      </w:r>
      <w:proofErr w:type="spellStart"/>
      <w:r w:rsidRPr="002D3E3D">
        <w:t>DTaP</w:t>
      </w:r>
      <w:proofErr w:type="spellEnd"/>
      <w:r w:rsidRPr="002D3E3D">
        <w:t xml:space="preserve">-IPV/Hib </w:t>
      </w:r>
      <w:r w:rsidRPr="002D3E3D">
        <w:rPr>
          <w:rFonts w:cs="Adobe Garamond Pro"/>
          <w:szCs w:val="24"/>
        </w:rPr>
        <w:t>(</w:t>
      </w:r>
      <w:proofErr w:type="spellStart"/>
      <w:r w:rsidRPr="002D3E3D">
        <w:rPr>
          <w:rFonts w:cs="Adobe Garamond Pro"/>
          <w:szCs w:val="24"/>
        </w:rPr>
        <w:t>Pentacel</w:t>
      </w:r>
      <w:proofErr w:type="spellEnd"/>
      <w:r w:rsidRPr="002D3E3D">
        <w:rPr>
          <w:rFonts w:cs="Adobe Garamond Pro"/>
          <w:szCs w:val="24"/>
        </w:rPr>
        <w:t xml:space="preserve">) </w:t>
      </w:r>
      <w:r w:rsidRPr="002D3E3D">
        <w:t xml:space="preserve">is not indicated for the booster dose at age </w:t>
      </w:r>
      <w:proofErr w:type="gramStart"/>
      <w:r w:rsidRPr="002D3E3D">
        <w:t>4</w:t>
      </w:r>
      <w:proofErr w:type="gramEnd"/>
      <w:r>
        <w:t xml:space="preserve"> through </w:t>
      </w:r>
      <w:r w:rsidRPr="002D3E3D">
        <w:t>6 years.  ACIP recommends that the minimum interval from dose 4 to dose 5 should be at least 6 months to provide an optimum booster response.  In accordance with existing recommendations, if a child misses an IPV dose at age 4</w:t>
      </w:r>
      <w:r>
        <w:t xml:space="preserve"> through </w:t>
      </w:r>
      <w:r w:rsidRPr="002D3E3D">
        <w:t xml:space="preserve">6 years, the child should receive a booster dose as soon as feasible </w:t>
      </w:r>
      <w:r w:rsidRPr="002D3E3D">
        <w:rPr>
          <w:szCs w:val="24"/>
        </w:rPr>
        <w:t xml:space="preserve"> (MMWR August 7, 2009/ 58(30); 830).</w:t>
      </w:r>
    </w:p>
    <w:p w:rsidR="00C45803" w:rsidRPr="002D3E3D" w:rsidRDefault="00C45803" w:rsidP="00C45803">
      <w:pPr>
        <w:autoSpaceDE w:val="0"/>
        <w:autoSpaceDN w:val="0"/>
        <w:adjustRightInd w:val="0"/>
        <w:ind w:left="720"/>
        <w:rPr>
          <w:rFonts w:cs="Adobe Garamond Pro"/>
          <w:szCs w:val="24"/>
        </w:rPr>
      </w:pPr>
    </w:p>
    <w:p w:rsidR="00C45803" w:rsidRPr="002D3E3D" w:rsidRDefault="00C45803" w:rsidP="00C45803">
      <w:pPr>
        <w:autoSpaceDE w:val="0"/>
        <w:autoSpaceDN w:val="0"/>
        <w:adjustRightInd w:val="0"/>
        <w:ind w:left="720"/>
        <w:rPr>
          <w:rFonts w:cs="Adobe Garamond Pro"/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  <w:ind w:left="720"/>
        <w:rPr>
          <w:szCs w:val="24"/>
        </w:rPr>
      </w:pPr>
    </w:p>
    <w:p w:rsidR="00C45803" w:rsidRDefault="00C45803" w:rsidP="00C45803">
      <w:pPr>
        <w:autoSpaceDE w:val="0"/>
        <w:autoSpaceDN w:val="0"/>
        <w:adjustRightInd w:val="0"/>
      </w:pPr>
    </w:p>
    <w:p w:rsidR="00C45803" w:rsidRDefault="00C45803" w:rsidP="00C45803">
      <w:pPr>
        <w:autoSpaceDE w:val="0"/>
        <w:autoSpaceDN w:val="0"/>
        <w:adjustRightInd w:val="0"/>
      </w:pPr>
    </w:p>
    <w:p w:rsidR="00C45803" w:rsidRDefault="00C45803" w:rsidP="00C45803">
      <w:pPr>
        <w:autoSpaceDE w:val="0"/>
        <w:autoSpaceDN w:val="0"/>
        <w:adjustRightInd w:val="0"/>
      </w:pPr>
    </w:p>
    <w:p w:rsidR="00C45803" w:rsidRDefault="00C45803" w:rsidP="00C45803">
      <w:pPr>
        <w:autoSpaceDE w:val="0"/>
        <w:autoSpaceDN w:val="0"/>
        <w:adjustRightInd w:val="0"/>
      </w:pPr>
    </w:p>
    <w:p w:rsidR="00F25F63" w:rsidRDefault="00C45803" w:rsidP="00C45803">
      <w:r>
        <w:t>Last updated January 31, 2010 and August 1, 2012</w:t>
      </w:r>
    </w:p>
    <w:sectPr w:rsidR="00F25F6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4F" w:rsidRDefault="0047434F" w:rsidP="00C45803">
      <w:r>
        <w:separator/>
      </w:r>
    </w:p>
  </w:endnote>
  <w:endnote w:type="continuationSeparator" w:id="0">
    <w:p w:rsidR="0047434F" w:rsidRDefault="0047434F" w:rsidP="00C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03" w:rsidRDefault="00C45803">
    <w:pPr>
      <w:pStyle w:val="Footer"/>
      <w:jc w:val="center"/>
      <w:rPr>
        <w:color w:val="auto"/>
        <w:sz w:val="16"/>
        <w:szCs w:val="16"/>
      </w:rPr>
    </w:pPr>
    <w:r w:rsidRPr="00C45803">
      <w:rPr>
        <w:color w:val="auto"/>
        <w:sz w:val="16"/>
        <w:szCs w:val="16"/>
      </w:rPr>
      <w:t xml:space="preserve">Page </w:t>
    </w:r>
    <w:r w:rsidRPr="00C45803">
      <w:rPr>
        <w:color w:val="auto"/>
        <w:sz w:val="16"/>
        <w:szCs w:val="16"/>
      </w:rPr>
      <w:fldChar w:fldCharType="begin"/>
    </w:r>
    <w:r w:rsidRPr="00C45803">
      <w:rPr>
        <w:color w:val="auto"/>
        <w:sz w:val="16"/>
        <w:szCs w:val="16"/>
      </w:rPr>
      <w:instrText xml:space="preserve"> PAGE  \* Arabic  \* MERGEFORMAT </w:instrText>
    </w:r>
    <w:r w:rsidRPr="00C45803">
      <w:rPr>
        <w:color w:val="auto"/>
        <w:sz w:val="16"/>
        <w:szCs w:val="16"/>
      </w:rPr>
      <w:fldChar w:fldCharType="separate"/>
    </w:r>
    <w:r w:rsidR="003D0483">
      <w:rPr>
        <w:noProof/>
        <w:color w:val="auto"/>
        <w:sz w:val="16"/>
        <w:szCs w:val="16"/>
      </w:rPr>
      <w:t>3</w:t>
    </w:r>
    <w:r w:rsidRPr="00C45803">
      <w:rPr>
        <w:color w:val="auto"/>
        <w:sz w:val="16"/>
        <w:szCs w:val="16"/>
      </w:rPr>
      <w:fldChar w:fldCharType="end"/>
    </w:r>
    <w:r w:rsidRPr="00C45803">
      <w:rPr>
        <w:color w:val="auto"/>
        <w:sz w:val="16"/>
        <w:szCs w:val="16"/>
      </w:rPr>
      <w:t xml:space="preserve"> of </w:t>
    </w:r>
    <w:r w:rsidRPr="00C45803">
      <w:rPr>
        <w:color w:val="auto"/>
        <w:sz w:val="16"/>
        <w:szCs w:val="16"/>
      </w:rPr>
      <w:fldChar w:fldCharType="begin"/>
    </w:r>
    <w:r w:rsidRPr="00C45803">
      <w:rPr>
        <w:color w:val="auto"/>
        <w:sz w:val="16"/>
        <w:szCs w:val="16"/>
      </w:rPr>
      <w:instrText xml:space="preserve"> NUMPAGES  \* Arabic  \* MERGEFORMAT </w:instrText>
    </w:r>
    <w:r w:rsidRPr="00C45803">
      <w:rPr>
        <w:color w:val="auto"/>
        <w:sz w:val="16"/>
        <w:szCs w:val="16"/>
      </w:rPr>
      <w:fldChar w:fldCharType="separate"/>
    </w:r>
    <w:r w:rsidR="003D0483">
      <w:rPr>
        <w:noProof/>
        <w:color w:val="auto"/>
        <w:sz w:val="16"/>
        <w:szCs w:val="16"/>
      </w:rPr>
      <w:t>3</w:t>
    </w:r>
    <w:r w:rsidRPr="00C45803">
      <w:rPr>
        <w:color w:val="auto"/>
        <w:sz w:val="16"/>
        <w:szCs w:val="16"/>
      </w:rPr>
      <w:fldChar w:fldCharType="end"/>
    </w:r>
  </w:p>
  <w:p w:rsidR="00C45803" w:rsidRDefault="00C45803">
    <w:pPr>
      <w:pStyle w:val="Footer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Core Clinical Service Guide</w:t>
    </w:r>
  </w:p>
  <w:p w:rsidR="00C45803" w:rsidRDefault="003D0483">
    <w:pPr>
      <w:pStyle w:val="Footer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Section:  Immunizations – (E</w:t>
    </w:r>
    <w:r w:rsidR="00C45803">
      <w:rPr>
        <w:color w:val="auto"/>
        <w:sz w:val="16"/>
        <w:szCs w:val="16"/>
      </w:rPr>
      <w:t xml:space="preserve">) – </w:t>
    </w:r>
    <w:proofErr w:type="spellStart"/>
    <w:r w:rsidR="00C45803">
      <w:rPr>
        <w:color w:val="auto"/>
        <w:sz w:val="16"/>
        <w:szCs w:val="16"/>
      </w:rPr>
      <w:t>DTaP</w:t>
    </w:r>
    <w:proofErr w:type="spellEnd"/>
    <w:r w:rsidR="00C45803">
      <w:rPr>
        <w:color w:val="auto"/>
        <w:sz w:val="16"/>
        <w:szCs w:val="16"/>
      </w:rPr>
      <w:t>-IPV (KINRIX</w:t>
    </w:r>
    <w:r w:rsidR="00C45803">
      <w:rPr>
        <w:color w:val="auto"/>
        <w:sz w:val="16"/>
        <w:szCs w:val="16"/>
        <w:vertAlign w:val="superscript"/>
      </w:rPr>
      <w:t>®</w:t>
    </w:r>
    <w:r w:rsidR="00C45803">
      <w:rPr>
        <w:color w:val="auto"/>
        <w:sz w:val="16"/>
        <w:szCs w:val="16"/>
      </w:rPr>
      <w:t>)</w:t>
    </w:r>
  </w:p>
  <w:p w:rsidR="00C45803" w:rsidRPr="00C45803" w:rsidRDefault="00C45803">
    <w:pPr>
      <w:pStyle w:val="Footer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July 1, 2018</w:t>
    </w:r>
  </w:p>
  <w:p w:rsidR="00C45803" w:rsidRDefault="00C4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4F" w:rsidRDefault="0047434F" w:rsidP="00C45803">
      <w:r>
        <w:separator/>
      </w:r>
    </w:p>
  </w:footnote>
  <w:footnote w:type="continuationSeparator" w:id="0">
    <w:p w:rsidR="0047434F" w:rsidRDefault="0047434F" w:rsidP="00C4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DE3"/>
    <w:multiLevelType w:val="hybridMultilevel"/>
    <w:tmpl w:val="A4861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3F4F"/>
    <w:multiLevelType w:val="hybridMultilevel"/>
    <w:tmpl w:val="08DC47A4"/>
    <w:lvl w:ilvl="0" w:tplc="09C2A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6FF8"/>
    <w:multiLevelType w:val="hybridMultilevel"/>
    <w:tmpl w:val="6F0EC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7605"/>
    <w:multiLevelType w:val="hybridMultilevel"/>
    <w:tmpl w:val="F16089E2"/>
    <w:lvl w:ilvl="0" w:tplc="F3C46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D3BC7"/>
    <w:multiLevelType w:val="hybridMultilevel"/>
    <w:tmpl w:val="267A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F3841"/>
    <w:multiLevelType w:val="hybridMultilevel"/>
    <w:tmpl w:val="751C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282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DB"/>
    <w:rsid w:val="001F0689"/>
    <w:rsid w:val="003D0483"/>
    <w:rsid w:val="0047434F"/>
    <w:rsid w:val="00C45803"/>
    <w:rsid w:val="00E44EDB"/>
    <w:rsid w:val="00F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3361"/>
  <w15:chartTrackingRefBased/>
  <w15:docId w15:val="{7C7FF8A6-60B2-4D9D-8381-78C9CAA8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80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8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45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03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mmwr/preview/mmwrhtml/mm6001a4.ht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cdc.gov/vaccines/programs/vfc/downloads/resolutions/2015-06-15-mening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2CAE3004-1C3D-49D9-B997-87A8AB647023}"/>
</file>

<file path=customXml/itemProps2.xml><?xml version="1.0" encoding="utf-8"?>
<ds:datastoreItem xmlns:ds="http://schemas.openxmlformats.org/officeDocument/2006/customXml" ds:itemID="{62C93433-C238-4DF4-AD73-26C5E468D924}"/>
</file>

<file path=customXml/itemProps3.xml><?xml version="1.0" encoding="utf-8"?>
<ds:datastoreItem xmlns:ds="http://schemas.openxmlformats.org/officeDocument/2006/customXml" ds:itemID="{4C78CA22-4DEC-4B8D-B17A-6ADCA00CE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4643</Characters>
  <Application>Microsoft Office Word</Application>
  <DocSecurity>0</DocSecurity>
  <Lines>38</Lines>
  <Paragraphs>10</Paragraphs>
  <ScaleCrop>false</ScaleCrop>
  <Company>Commonwealth of Kentucky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IMMUNIZATIONS - (E) - DTaP-IPV (KINRIX)</dc:title>
  <dc:subject/>
  <dc:creator>Cunningham, Troi (CHFS PH EPI)</dc:creator>
  <cp:keywords/>
  <dc:description/>
  <cp:lastModifiedBy>Cunningham, Troi (CHFS PH EPI)</cp:lastModifiedBy>
  <cp:revision>3</cp:revision>
  <dcterms:created xsi:type="dcterms:W3CDTF">2018-06-29T15:30:00Z</dcterms:created>
  <dcterms:modified xsi:type="dcterms:W3CDTF">2018-06-29T15:37:00Z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