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54" w:rsidRPr="002D3E3D" w:rsidRDefault="008D3A54" w:rsidP="008D3A54">
      <w:pPr>
        <w:jc w:val="center"/>
        <w:rPr>
          <w:sz w:val="28"/>
          <w:szCs w:val="28"/>
        </w:rPr>
      </w:pPr>
      <w:proofErr w:type="spellStart"/>
      <w:r w:rsidRPr="002D3E3D">
        <w:rPr>
          <w:b/>
          <w:bCs/>
          <w:sz w:val="28"/>
          <w:szCs w:val="28"/>
        </w:rPr>
        <w:t>DTaP</w:t>
      </w:r>
      <w:proofErr w:type="spellEnd"/>
      <w:r w:rsidRPr="002D3E3D">
        <w:rPr>
          <w:b/>
          <w:bCs/>
          <w:sz w:val="28"/>
          <w:szCs w:val="28"/>
        </w:rPr>
        <w:t>-</w:t>
      </w:r>
      <w:proofErr w:type="spellStart"/>
      <w:r w:rsidRPr="002D3E3D">
        <w:rPr>
          <w:b/>
          <w:bCs/>
          <w:sz w:val="28"/>
          <w:szCs w:val="28"/>
        </w:rPr>
        <w:t>HepB</w:t>
      </w:r>
      <w:proofErr w:type="spellEnd"/>
      <w:r w:rsidRPr="002D3E3D">
        <w:rPr>
          <w:b/>
          <w:bCs/>
          <w:sz w:val="28"/>
          <w:szCs w:val="28"/>
        </w:rPr>
        <w:t>-IPV Combination Vaccine (PEDIARIX</w:t>
      </w:r>
      <w:r w:rsidRPr="002D3E3D">
        <w:rPr>
          <w:b/>
          <w:bCs/>
          <w:sz w:val="28"/>
          <w:szCs w:val="28"/>
          <w:vertAlign w:val="superscript"/>
        </w:rPr>
        <w:t>®</w:t>
      </w:r>
      <w:r w:rsidRPr="002D3E3D">
        <w:rPr>
          <w:b/>
          <w:bCs/>
          <w:sz w:val="28"/>
          <w:szCs w:val="28"/>
        </w:rPr>
        <w:t>)</w:t>
      </w:r>
    </w:p>
    <w:p w:rsidR="008D3A54" w:rsidRPr="002D3E3D" w:rsidRDefault="008D3A54" w:rsidP="008D3A54">
      <w:pPr>
        <w:rPr>
          <w:sz w:val="28"/>
          <w:szCs w:val="28"/>
        </w:rPr>
      </w:pPr>
    </w:p>
    <w:p w:rsidR="008D3A54" w:rsidRDefault="008D3A54" w:rsidP="008D3A54">
      <w:pPr>
        <w:autoSpaceDE w:val="0"/>
        <w:autoSpaceDN w:val="0"/>
        <w:adjustRightInd w:val="0"/>
        <w:spacing w:after="120"/>
        <w:rPr>
          <w:b/>
          <w:u w:val="single"/>
        </w:rPr>
      </w:pPr>
      <w:r>
        <w:rPr>
          <w:b/>
          <w:u w:val="single"/>
        </w:rPr>
        <w:t>Precautions and Contraindications</w:t>
      </w:r>
    </w:p>
    <w:p w:rsidR="008D3A54" w:rsidRPr="00906858" w:rsidRDefault="008D3A54" w:rsidP="008D3A54">
      <w:pPr>
        <w:autoSpaceDE w:val="0"/>
        <w:autoSpaceDN w:val="0"/>
        <w:adjustRightInd w:val="0"/>
        <w:spacing w:after="120"/>
      </w:pPr>
      <w:r w:rsidRPr="0074546F">
        <w:t>Screen all patients for precautions and contraindications to immunization</w:t>
      </w:r>
      <w:r w:rsidRPr="00906858">
        <w:t>.</w:t>
      </w:r>
    </w:p>
    <w:p w:rsidR="008D3A54" w:rsidRPr="002D3E3D" w:rsidRDefault="008D3A54" w:rsidP="008D3A54">
      <w:pPr>
        <w:widowControl w:val="0"/>
        <w:rPr>
          <w:b/>
          <w:bCs/>
        </w:rPr>
      </w:pPr>
    </w:p>
    <w:p w:rsidR="008D3A54" w:rsidRPr="002D3E3D" w:rsidRDefault="008D3A54" w:rsidP="008D3A54">
      <w:pPr>
        <w:spacing w:after="120"/>
        <w:rPr>
          <w:b/>
          <w:szCs w:val="24"/>
          <w:u w:val="single"/>
        </w:rPr>
      </w:pPr>
      <w:r w:rsidRPr="002D3E3D">
        <w:rPr>
          <w:b/>
          <w:szCs w:val="24"/>
          <w:u w:val="single"/>
        </w:rPr>
        <w:t>Recommended Schedule</w:t>
      </w:r>
    </w:p>
    <w:p w:rsidR="008D3A54" w:rsidRPr="002D3E3D" w:rsidRDefault="008D3A54" w:rsidP="008D3A54">
      <w:proofErr w:type="spellStart"/>
      <w:r w:rsidRPr="002D3E3D">
        <w:t>DTaP</w:t>
      </w:r>
      <w:proofErr w:type="spellEnd"/>
      <w:r w:rsidRPr="002D3E3D">
        <w:t>-</w:t>
      </w:r>
      <w:proofErr w:type="spellStart"/>
      <w:r w:rsidRPr="002D3E3D">
        <w:t>HepB</w:t>
      </w:r>
      <w:proofErr w:type="spellEnd"/>
      <w:r w:rsidRPr="002D3E3D">
        <w:t xml:space="preserve">-IPV </w:t>
      </w:r>
      <w:proofErr w:type="gramStart"/>
      <w:r w:rsidRPr="002D3E3D">
        <w:t>is approved</w:t>
      </w:r>
      <w:proofErr w:type="gramEnd"/>
      <w:r w:rsidRPr="002D3E3D">
        <w:t xml:space="preserve"> for the primary series routinely given at 2, 4 and 6 months of age.  The recommended interval between doses is 6 to 8 weeks (preferably 8 weeks).   </w:t>
      </w:r>
    </w:p>
    <w:p w:rsidR="008D3A54" w:rsidRPr="002D3E3D" w:rsidRDefault="008D3A54" w:rsidP="008D3A54"/>
    <w:p w:rsidR="008D3A54" w:rsidRPr="002D3E3D" w:rsidRDefault="008D3A54" w:rsidP="008D3A54">
      <w:proofErr w:type="spellStart"/>
      <w:r w:rsidRPr="002D3E3D">
        <w:t>DTaP</w:t>
      </w:r>
      <w:proofErr w:type="spellEnd"/>
      <w:r w:rsidRPr="002D3E3D">
        <w:t>-</w:t>
      </w:r>
      <w:proofErr w:type="spellStart"/>
      <w:r w:rsidRPr="002D3E3D">
        <w:t>HepB</w:t>
      </w:r>
      <w:proofErr w:type="spellEnd"/>
      <w:r w:rsidRPr="002D3E3D">
        <w:t xml:space="preserve">-IPV </w:t>
      </w:r>
      <w:proofErr w:type="gramStart"/>
      <w:r w:rsidRPr="002D3E3D">
        <w:t>is approved</w:t>
      </w:r>
      <w:proofErr w:type="gramEnd"/>
      <w:r w:rsidRPr="002D3E3D">
        <w:t xml:space="preserve"> for use</w:t>
      </w:r>
      <w:r>
        <w:t xml:space="preserve"> in children aged 6 weeks</w:t>
      </w:r>
      <w:r w:rsidRPr="002D3E3D">
        <w:t xml:space="preserve"> through 6 years</w:t>
      </w:r>
      <w:r>
        <w:t xml:space="preserve"> (prior to the 7</w:t>
      </w:r>
      <w:r w:rsidRPr="00010FA1">
        <w:rPr>
          <w:vertAlign w:val="superscript"/>
        </w:rPr>
        <w:t>th</w:t>
      </w:r>
      <w:r>
        <w:t> birthday)</w:t>
      </w:r>
      <w:r w:rsidRPr="002D3E3D">
        <w:t xml:space="preserve">.  A child who is behind schedule can still receive </w:t>
      </w:r>
      <w:proofErr w:type="spellStart"/>
      <w:r w:rsidRPr="002D3E3D">
        <w:t>DTaP</w:t>
      </w:r>
      <w:proofErr w:type="spellEnd"/>
      <w:r w:rsidRPr="002D3E3D">
        <w:t>-</w:t>
      </w:r>
      <w:proofErr w:type="spellStart"/>
      <w:r w:rsidRPr="002D3E3D">
        <w:t>HepB</w:t>
      </w:r>
      <w:proofErr w:type="spellEnd"/>
      <w:r w:rsidRPr="002D3E3D">
        <w:t xml:space="preserve">-IPV as long as it </w:t>
      </w:r>
      <w:proofErr w:type="gramStart"/>
      <w:r w:rsidRPr="002D3E3D">
        <w:t>is given</w:t>
      </w:r>
      <w:proofErr w:type="gramEnd"/>
      <w:r w:rsidRPr="002D3E3D">
        <w:t xml:space="preserve"> for doses 1, 2 or 3 of the series and the child is less than 7</w:t>
      </w:r>
      <w:r>
        <w:t> </w:t>
      </w:r>
      <w:r w:rsidRPr="002D3E3D">
        <w:t>years of age.</w:t>
      </w:r>
    </w:p>
    <w:p w:rsidR="008D3A54" w:rsidRPr="002D3E3D" w:rsidRDefault="008D3A54" w:rsidP="008D3A54">
      <w:r w:rsidRPr="002D3E3D">
        <w:t xml:space="preserve"> </w:t>
      </w:r>
    </w:p>
    <w:p w:rsidR="008D3A54" w:rsidRPr="002D3E3D" w:rsidRDefault="008D3A54" w:rsidP="008D3A54">
      <w:proofErr w:type="spellStart"/>
      <w:r w:rsidRPr="002D3E3D">
        <w:t>DTaP</w:t>
      </w:r>
      <w:proofErr w:type="spellEnd"/>
      <w:r w:rsidRPr="002D3E3D">
        <w:t>-</w:t>
      </w:r>
      <w:proofErr w:type="spellStart"/>
      <w:r w:rsidRPr="002D3E3D">
        <w:t>HepB</w:t>
      </w:r>
      <w:proofErr w:type="spellEnd"/>
      <w:r w:rsidRPr="002D3E3D">
        <w:t xml:space="preserve">-IPV </w:t>
      </w:r>
      <w:proofErr w:type="gramStart"/>
      <w:r w:rsidRPr="002D3E3D">
        <w:t>can be used</w:t>
      </w:r>
      <w:proofErr w:type="gramEnd"/>
      <w:r w:rsidRPr="002D3E3D">
        <w:t xml:space="preserve"> to complete the primary series in infants who have begun with the separate vaccines.  </w:t>
      </w:r>
    </w:p>
    <w:p w:rsidR="008D3A54" w:rsidRPr="002D3E3D" w:rsidRDefault="008D3A54" w:rsidP="008D3A54"/>
    <w:p w:rsidR="008D3A54" w:rsidRPr="002D3E3D" w:rsidRDefault="008D3A54" w:rsidP="008D3A54">
      <w:r w:rsidRPr="002D3E3D">
        <w:t xml:space="preserve">Children who have received </w:t>
      </w:r>
      <w:proofErr w:type="spellStart"/>
      <w:r w:rsidRPr="002D3E3D">
        <w:t>DTaP</w:t>
      </w:r>
      <w:proofErr w:type="spellEnd"/>
      <w:r w:rsidRPr="002D3E3D">
        <w:t>-</w:t>
      </w:r>
      <w:proofErr w:type="spellStart"/>
      <w:r w:rsidRPr="002D3E3D">
        <w:t>HepB</w:t>
      </w:r>
      <w:proofErr w:type="spellEnd"/>
      <w:r w:rsidRPr="002D3E3D">
        <w:t>-IPV</w:t>
      </w:r>
      <w:r w:rsidRPr="002D3E3D">
        <w:rPr>
          <w:vertAlign w:val="superscript"/>
        </w:rPr>
        <w:t xml:space="preserve"> </w:t>
      </w:r>
      <w:r w:rsidRPr="002D3E3D">
        <w:t xml:space="preserve">can also receive </w:t>
      </w:r>
      <w:proofErr w:type="spellStart"/>
      <w:r w:rsidRPr="002F3D7F">
        <w:t>TriHIBit</w:t>
      </w:r>
      <w:proofErr w:type="spellEnd"/>
      <w:r w:rsidRPr="002F3D7F">
        <w:rPr>
          <w:b/>
          <w:bCs/>
          <w:vertAlign w:val="superscript"/>
        </w:rPr>
        <w:t>®</w:t>
      </w:r>
      <w:r w:rsidRPr="002D3E3D">
        <w:rPr>
          <w:vertAlign w:val="superscript"/>
        </w:rPr>
        <w:t xml:space="preserve"> </w:t>
      </w:r>
      <w:r w:rsidRPr="002D3E3D">
        <w:t>(</w:t>
      </w:r>
      <w:proofErr w:type="spellStart"/>
      <w:r w:rsidRPr="002D3E3D">
        <w:t>DTaP</w:t>
      </w:r>
      <w:proofErr w:type="spellEnd"/>
      <w:r w:rsidRPr="002D3E3D">
        <w:noBreakHyphen/>
        <w:t>Hib) to complete the 4</w:t>
      </w:r>
      <w:r w:rsidRPr="002D3E3D">
        <w:rPr>
          <w:vertAlign w:val="superscript"/>
        </w:rPr>
        <w:t>th</w:t>
      </w:r>
      <w:r>
        <w:t> </w:t>
      </w:r>
      <w:r w:rsidRPr="002D3E3D">
        <w:t xml:space="preserve">dose of the </w:t>
      </w:r>
      <w:proofErr w:type="spellStart"/>
      <w:r w:rsidRPr="002D3E3D">
        <w:t>DTaP</w:t>
      </w:r>
      <w:proofErr w:type="spellEnd"/>
      <w:r w:rsidRPr="002D3E3D">
        <w:t xml:space="preserve"> and </w:t>
      </w:r>
      <w:proofErr w:type="spellStart"/>
      <w:r w:rsidRPr="002D3E3D">
        <w:rPr>
          <w:i/>
          <w:iCs/>
        </w:rPr>
        <w:t>Haemophilus</w:t>
      </w:r>
      <w:proofErr w:type="spellEnd"/>
      <w:r w:rsidRPr="002D3E3D">
        <w:rPr>
          <w:i/>
          <w:iCs/>
        </w:rPr>
        <w:t xml:space="preserve"> </w:t>
      </w:r>
      <w:proofErr w:type="spellStart"/>
      <w:r w:rsidRPr="002D3E3D">
        <w:rPr>
          <w:i/>
          <w:iCs/>
        </w:rPr>
        <w:t>influenzae</w:t>
      </w:r>
      <w:proofErr w:type="spellEnd"/>
      <w:r w:rsidRPr="002D3E3D">
        <w:rPr>
          <w:i/>
          <w:iCs/>
        </w:rPr>
        <w:t xml:space="preserve"> </w:t>
      </w:r>
      <w:r w:rsidRPr="002D3E3D">
        <w:t>type</w:t>
      </w:r>
      <w:r w:rsidRPr="002D3E3D">
        <w:rPr>
          <w:i/>
          <w:iCs/>
        </w:rPr>
        <w:t xml:space="preserve"> </w:t>
      </w:r>
      <w:r w:rsidRPr="002D3E3D">
        <w:t>b (Hib) series -- as long as it is the final dose in the Hib series, and the child has received at least one prior</w:t>
      </w:r>
      <w:r w:rsidRPr="002D3E3D">
        <w:rPr>
          <w:szCs w:val="24"/>
        </w:rPr>
        <w:t xml:space="preserve"> </w:t>
      </w:r>
      <w:r w:rsidRPr="002D3E3D">
        <w:t>dose of Hib vaccine.</w:t>
      </w:r>
    </w:p>
    <w:p w:rsidR="008D3A54" w:rsidRPr="002D3E3D" w:rsidRDefault="008D3A54" w:rsidP="008D3A54">
      <w:pPr>
        <w:rPr>
          <w:szCs w:val="24"/>
        </w:rPr>
      </w:pPr>
    </w:p>
    <w:p w:rsidR="008D3A54" w:rsidRPr="002D3E3D" w:rsidRDefault="008D3A54" w:rsidP="008D3A54">
      <w:proofErr w:type="spellStart"/>
      <w:r w:rsidRPr="002D3E3D">
        <w:t>DTaP</w:t>
      </w:r>
      <w:proofErr w:type="spellEnd"/>
      <w:r w:rsidRPr="002D3E3D">
        <w:t>-</w:t>
      </w:r>
      <w:proofErr w:type="spellStart"/>
      <w:r w:rsidRPr="002D3E3D">
        <w:t>HepB</w:t>
      </w:r>
      <w:proofErr w:type="spellEnd"/>
      <w:r w:rsidRPr="002D3E3D">
        <w:t>-IPV</w:t>
      </w:r>
      <w:r w:rsidRPr="002D3E3D">
        <w:rPr>
          <w:vertAlign w:val="superscript"/>
        </w:rPr>
        <w:t xml:space="preserve"> </w:t>
      </w:r>
      <w:r w:rsidRPr="002D3E3D">
        <w:t>can be administered simultaneously with other vaccines given at separate injection sites, including Hib and pneumococcal conjugate (PCV7</w:t>
      </w:r>
      <w:r>
        <w:t xml:space="preserve"> is listed in the latest package insert</w:t>
      </w:r>
      <w:r w:rsidRPr="002D3E3D">
        <w:t xml:space="preserve">) vaccines.  Please refer to the section below on </w:t>
      </w:r>
      <w:r w:rsidRPr="002D3E3D">
        <w:rPr>
          <w:b/>
          <w:bCs/>
        </w:rPr>
        <w:t xml:space="preserve">Adverse Events </w:t>
      </w:r>
      <w:r w:rsidRPr="002D3E3D">
        <w:t>for additional information.</w:t>
      </w:r>
    </w:p>
    <w:p w:rsidR="008D3A54" w:rsidRPr="002D3E3D" w:rsidRDefault="008D3A54" w:rsidP="008D3A54">
      <w:pPr>
        <w:rPr>
          <w:szCs w:val="24"/>
        </w:rPr>
      </w:pPr>
    </w:p>
    <w:p w:rsidR="008D3A54" w:rsidRPr="002D3E3D" w:rsidRDefault="008D3A54" w:rsidP="008D3A54">
      <w:pPr>
        <w:spacing w:after="120"/>
        <w:rPr>
          <w:b/>
          <w:bCs/>
          <w:szCs w:val="24"/>
          <w:u w:val="single"/>
        </w:rPr>
      </w:pPr>
      <w:r w:rsidRPr="002D3E3D">
        <w:rPr>
          <w:b/>
          <w:bCs/>
          <w:szCs w:val="24"/>
        </w:rPr>
        <w:t xml:space="preserve"> </w:t>
      </w:r>
      <w:r w:rsidRPr="002D3E3D">
        <w:rPr>
          <w:b/>
          <w:bCs/>
          <w:szCs w:val="24"/>
          <w:u w:val="single"/>
        </w:rPr>
        <w:t>Minimum Ages and Intervals</w:t>
      </w:r>
    </w:p>
    <w:p w:rsidR="008D3A54" w:rsidRPr="002D3E3D" w:rsidRDefault="008D3A54" w:rsidP="008D3A54">
      <w:pPr>
        <w:numPr>
          <w:ilvl w:val="0"/>
          <w:numId w:val="4"/>
        </w:numPr>
      </w:pPr>
      <w:r w:rsidRPr="002D3E3D">
        <w:t xml:space="preserve">The recommended minimum age and interval for each dose are equivalent to the oldest age or longest interval recommended for any of the individual components for that dose.  For example, the minimum age for </w:t>
      </w:r>
      <w:proofErr w:type="gramStart"/>
      <w:r w:rsidRPr="002D3E3D">
        <w:t>dose</w:t>
      </w:r>
      <w:proofErr w:type="gramEnd"/>
      <w:r w:rsidRPr="002D3E3D">
        <w:t xml:space="preserve"> </w:t>
      </w:r>
      <w:r>
        <w:t>#</w:t>
      </w:r>
      <w:r w:rsidRPr="002D3E3D">
        <w:t xml:space="preserve">1 is 6 weeks (the same as </w:t>
      </w:r>
      <w:proofErr w:type="spellStart"/>
      <w:r w:rsidRPr="002D3E3D">
        <w:t>DTaP</w:t>
      </w:r>
      <w:proofErr w:type="spellEnd"/>
      <w:r w:rsidRPr="002D3E3D">
        <w:t xml:space="preserve"> and IPV), while the minimum age for the third dose is 24 weeks (the same as </w:t>
      </w:r>
      <w:proofErr w:type="spellStart"/>
      <w:r>
        <w:t>HepB</w:t>
      </w:r>
      <w:proofErr w:type="spellEnd"/>
      <w:r w:rsidRPr="002D3E3D">
        <w:t>).</w:t>
      </w:r>
    </w:p>
    <w:p w:rsidR="008D3A54" w:rsidRPr="002D3E3D" w:rsidRDefault="008D3A54" w:rsidP="008D3A54"/>
    <w:p w:rsidR="008D3A54" w:rsidRPr="002D3E3D" w:rsidRDefault="008D3A54" w:rsidP="008D3A54">
      <w:pPr>
        <w:numPr>
          <w:ilvl w:val="0"/>
          <w:numId w:val="4"/>
        </w:numPr>
      </w:pPr>
      <w:r w:rsidRPr="002D3E3D">
        <w:t xml:space="preserve">If an accelerated schedule is used, the minimum interval between the </w:t>
      </w:r>
      <w:proofErr w:type="gramStart"/>
      <w:r w:rsidRPr="002D3E3D">
        <w:t>1</w:t>
      </w:r>
      <w:r w:rsidRPr="002D3E3D">
        <w:rPr>
          <w:vertAlign w:val="superscript"/>
        </w:rPr>
        <w:t>st</w:t>
      </w:r>
      <w:proofErr w:type="gramEnd"/>
      <w:r w:rsidRPr="002D3E3D">
        <w:t xml:space="preserve"> and 2</w:t>
      </w:r>
      <w:r w:rsidRPr="002D3E3D">
        <w:rPr>
          <w:vertAlign w:val="superscript"/>
        </w:rPr>
        <w:t>nd</w:t>
      </w:r>
      <w:r w:rsidRPr="002D3E3D">
        <w:t xml:space="preserve"> doses is 6 weeks; and between the 2</w:t>
      </w:r>
      <w:r w:rsidRPr="002D3E3D">
        <w:rPr>
          <w:vertAlign w:val="superscript"/>
        </w:rPr>
        <w:t>nd</w:t>
      </w:r>
      <w:r w:rsidRPr="002D3E3D">
        <w:t xml:space="preserve"> and 3</w:t>
      </w:r>
      <w:r w:rsidRPr="002D3E3D">
        <w:rPr>
          <w:vertAlign w:val="superscript"/>
        </w:rPr>
        <w:t>rd</w:t>
      </w:r>
      <w:r w:rsidRPr="002D3E3D">
        <w:t xml:space="preserve"> doses is 8 weeks, but the 3</w:t>
      </w:r>
      <w:r w:rsidRPr="002D3E3D">
        <w:rPr>
          <w:vertAlign w:val="superscript"/>
        </w:rPr>
        <w:t>rd</w:t>
      </w:r>
      <w:r w:rsidRPr="002D3E3D">
        <w:t xml:space="preserve"> dose should </w:t>
      </w:r>
      <w:r w:rsidRPr="002D3E3D">
        <w:rPr>
          <w:b/>
          <w:bCs/>
        </w:rPr>
        <w:t>not</w:t>
      </w:r>
      <w:r w:rsidRPr="002D3E3D">
        <w:t xml:space="preserve"> be given before age 24</w:t>
      </w:r>
      <w:r>
        <w:t> </w:t>
      </w:r>
      <w:r w:rsidRPr="002D3E3D">
        <w:t>weeks.  Please refer to the table below.</w:t>
      </w:r>
    </w:p>
    <w:p w:rsidR="008D3A54" w:rsidRPr="002D3E3D" w:rsidRDefault="008D3A54" w:rsidP="008D3A54">
      <w:pPr>
        <w:rPr>
          <w:szCs w:val="24"/>
        </w:rPr>
      </w:pPr>
    </w:p>
    <w:tbl>
      <w:tblPr>
        <w:tblW w:w="7470" w:type="dxa"/>
        <w:tblInd w:w="9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139"/>
        <w:gridCol w:w="1831"/>
        <w:gridCol w:w="4500"/>
      </w:tblGrid>
      <w:tr w:rsidR="008D3A54" w:rsidRPr="002D3E3D" w:rsidTr="00761C75">
        <w:trPr>
          <w:trHeight w:val="431"/>
        </w:trPr>
        <w:tc>
          <w:tcPr>
            <w:tcW w:w="1139" w:type="dxa"/>
            <w:tcBorders>
              <w:top w:val="single" w:sz="4" w:space="0" w:color="auto"/>
              <w:left w:val="single" w:sz="8" w:space="0" w:color="auto"/>
              <w:bottom w:val="single" w:sz="8" w:space="0" w:color="666699"/>
              <w:right w:val="nil"/>
            </w:tcBorders>
            <w:shd w:val="clear" w:color="auto" w:fill="E6E6E6"/>
            <w:vAlign w:val="center"/>
          </w:tcPr>
          <w:p w:rsidR="008D3A54" w:rsidRPr="002D3E3D" w:rsidRDefault="008D3A54" w:rsidP="00761C75">
            <w:pPr>
              <w:keepNext/>
              <w:jc w:val="center"/>
              <w:outlineLvl w:val="3"/>
              <w:rPr>
                <w:b/>
                <w:bCs/>
                <w:szCs w:val="24"/>
              </w:rPr>
            </w:pPr>
            <w:r w:rsidRPr="002D3E3D">
              <w:rPr>
                <w:b/>
                <w:bCs/>
                <w:szCs w:val="24"/>
              </w:rPr>
              <w:t>Dose</w:t>
            </w:r>
          </w:p>
        </w:tc>
        <w:tc>
          <w:tcPr>
            <w:tcW w:w="1831" w:type="dxa"/>
            <w:tcBorders>
              <w:top w:val="single" w:sz="4" w:space="0" w:color="auto"/>
              <w:left w:val="nil"/>
              <w:bottom w:val="single" w:sz="8" w:space="0" w:color="666699"/>
              <w:right w:val="nil"/>
            </w:tcBorders>
            <w:shd w:val="clear" w:color="auto" w:fill="E6E6E6"/>
            <w:vAlign w:val="center"/>
          </w:tcPr>
          <w:p w:rsidR="008D3A54" w:rsidRPr="002D3E3D" w:rsidRDefault="008D3A54" w:rsidP="00761C75">
            <w:pPr>
              <w:jc w:val="center"/>
              <w:rPr>
                <w:b/>
                <w:bCs/>
                <w:szCs w:val="24"/>
              </w:rPr>
            </w:pPr>
            <w:r w:rsidRPr="002D3E3D">
              <w:rPr>
                <w:b/>
                <w:bCs/>
                <w:szCs w:val="24"/>
              </w:rPr>
              <w:t>Minimum Age</w:t>
            </w:r>
          </w:p>
        </w:tc>
        <w:tc>
          <w:tcPr>
            <w:tcW w:w="4500" w:type="dxa"/>
            <w:tcBorders>
              <w:top w:val="single" w:sz="4" w:space="0" w:color="auto"/>
              <w:left w:val="nil"/>
              <w:bottom w:val="single" w:sz="8" w:space="0" w:color="666699"/>
              <w:right w:val="single" w:sz="8" w:space="0" w:color="auto"/>
            </w:tcBorders>
            <w:shd w:val="clear" w:color="auto" w:fill="E6E6E6"/>
            <w:vAlign w:val="center"/>
          </w:tcPr>
          <w:p w:rsidR="008D3A54" w:rsidRPr="002D3E3D" w:rsidRDefault="008D3A54" w:rsidP="00761C75">
            <w:pPr>
              <w:jc w:val="center"/>
              <w:rPr>
                <w:b/>
                <w:bCs/>
                <w:szCs w:val="24"/>
              </w:rPr>
            </w:pPr>
            <w:r w:rsidRPr="002D3E3D">
              <w:rPr>
                <w:b/>
                <w:bCs/>
                <w:szCs w:val="24"/>
              </w:rPr>
              <w:t>Minimum Interval from Previous Dose</w:t>
            </w:r>
          </w:p>
        </w:tc>
      </w:tr>
      <w:tr w:rsidR="008D3A54" w:rsidRPr="002D3E3D" w:rsidTr="00761C75">
        <w:trPr>
          <w:trHeight w:val="276"/>
        </w:trPr>
        <w:tc>
          <w:tcPr>
            <w:tcW w:w="1139" w:type="dxa"/>
            <w:tcBorders>
              <w:top w:val="single" w:sz="8" w:space="0" w:color="666699"/>
              <w:left w:val="single" w:sz="8" w:space="0" w:color="auto"/>
              <w:bottom w:val="single" w:sz="8" w:space="0" w:color="666699"/>
              <w:right w:val="nil"/>
            </w:tcBorders>
          </w:tcPr>
          <w:p w:rsidR="008D3A54" w:rsidRPr="002D3E3D" w:rsidRDefault="008D3A54" w:rsidP="00761C75">
            <w:pPr>
              <w:jc w:val="center"/>
              <w:rPr>
                <w:szCs w:val="24"/>
              </w:rPr>
            </w:pPr>
            <w:r w:rsidRPr="002D3E3D">
              <w:rPr>
                <w:szCs w:val="24"/>
              </w:rPr>
              <w:t>1</w:t>
            </w:r>
          </w:p>
        </w:tc>
        <w:tc>
          <w:tcPr>
            <w:tcW w:w="1831" w:type="dxa"/>
            <w:tcBorders>
              <w:top w:val="single" w:sz="8" w:space="0" w:color="666699"/>
              <w:left w:val="nil"/>
              <w:bottom w:val="single" w:sz="8" w:space="0" w:color="666699"/>
              <w:right w:val="nil"/>
            </w:tcBorders>
          </w:tcPr>
          <w:p w:rsidR="008D3A54" w:rsidRPr="002D3E3D" w:rsidRDefault="008D3A54" w:rsidP="00761C75">
            <w:pPr>
              <w:jc w:val="center"/>
              <w:rPr>
                <w:szCs w:val="24"/>
              </w:rPr>
            </w:pPr>
            <w:r w:rsidRPr="002D3E3D">
              <w:rPr>
                <w:szCs w:val="24"/>
              </w:rPr>
              <w:t>6 weeks</w:t>
            </w:r>
          </w:p>
        </w:tc>
        <w:tc>
          <w:tcPr>
            <w:tcW w:w="4500" w:type="dxa"/>
            <w:tcBorders>
              <w:top w:val="single" w:sz="8" w:space="0" w:color="666699"/>
              <w:left w:val="nil"/>
              <w:bottom w:val="single" w:sz="8" w:space="0" w:color="666699"/>
              <w:right w:val="single" w:sz="8" w:space="0" w:color="auto"/>
            </w:tcBorders>
          </w:tcPr>
          <w:p w:rsidR="008D3A54" w:rsidRPr="002D3E3D" w:rsidRDefault="008D3A54" w:rsidP="00761C75">
            <w:pPr>
              <w:jc w:val="center"/>
              <w:rPr>
                <w:szCs w:val="24"/>
              </w:rPr>
            </w:pPr>
            <w:r w:rsidRPr="002D3E3D">
              <w:rPr>
                <w:szCs w:val="24"/>
              </w:rPr>
              <w:t>-</w:t>
            </w:r>
          </w:p>
        </w:tc>
      </w:tr>
      <w:tr w:rsidR="008D3A54" w:rsidRPr="002D3E3D" w:rsidTr="00761C75">
        <w:trPr>
          <w:trHeight w:val="276"/>
        </w:trPr>
        <w:tc>
          <w:tcPr>
            <w:tcW w:w="1139" w:type="dxa"/>
            <w:tcBorders>
              <w:top w:val="single" w:sz="8" w:space="0" w:color="666699"/>
              <w:left w:val="single" w:sz="8" w:space="0" w:color="auto"/>
              <w:bottom w:val="single" w:sz="8" w:space="0" w:color="666699"/>
              <w:right w:val="nil"/>
            </w:tcBorders>
          </w:tcPr>
          <w:p w:rsidR="008D3A54" w:rsidRPr="002D3E3D" w:rsidRDefault="008D3A54" w:rsidP="00761C75">
            <w:pPr>
              <w:jc w:val="center"/>
              <w:rPr>
                <w:szCs w:val="24"/>
              </w:rPr>
            </w:pPr>
            <w:r w:rsidRPr="002D3E3D">
              <w:rPr>
                <w:szCs w:val="24"/>
              </w:rPr>
              <w:t>2</w:t>
            </w:r>
          </w:p>
        </w:tc>
        <w:tc>
          <w:tcPr>
            <w:tcW w:w="1831" w:type="dxa"/>
            <w:tcBorders>
              <w:top w:val="single" w:sz="8" w:space="0" w:color="666699"/>
              <w:left w:val="nil"/>
              <w:bottom w:val="single" w:sz="8" w:space="0" w:color="666699"/>
              <w:right w:val="nil"/>
            </w:tcBorders>
          </w:tcPr>
          <w:p w:rsidR="008D3A54" w:rsidRPr="002D3E3D" w:rsidRDefault="008D3A54" w:rsidP="00761C75">
            <w:pPr>
              <w:jc w:val="center"/>
              <w:rPr>
                <w:szCs w:val="24"/>
              </w:rPr>
            </w:pPr>
            <w:r w:rsidRPr="002D3E3D">
              <w:rPr>
                <w:szCs w:val="24"/>
              </w:rPr>
              <w:t>10 weeks</w:t>
            </w:r>
          </w:p>
        </w:tc>
        <w:tc>
          <w:tcPr>
            <w:tcW w:w="4500" w:type="dxa"/>
            <w:tcBorders>
              <w:top w:val="single" w:sz="8" w:space="0" w:color="666699"/>
              <w:left w:val="nil"/>
              <w:bottom w:val="single" w:sz="8" w:space="0" w:color="666699"/>
              <w:right w:val="single" w:sz="8" w:space="0" w:color="auto"/>
            </w:tcBorders>
          </w:tcPr>
          <w:p w:rsidR="008D3A54" w:rsidRPr="002D3E3D" w:rsidRDefault="008D3A54" w:rsidP="00761C75">
            <w:pPr>
              <w:rPr>
                <w:szCs w:val="24"/>
              </w:rPr>
            </w:pPr>
            <w:r w:rsidRPr="002D3E3D">
              <w:rPr>
                <w:szCs w:val="24"/>
              </w:rPr>
              <w:t xml:space="preserve">                      </w:t>
            </w:r>
            <w:r>
              <w:rPr>
                <w:szCs w:val="24"/>
              </w:rPr>
              <w:t xml:space="preserve">   </w:t>
            </w:r>
            <w:r w:rsidRPr="002D3E3D">
              <w:rPr>
                <w:szCs w:val="24"/>
              </w:rPr>
              <w:t xml:space="preserve">   6 weeks</w:t>
            </w:r>
          </w:p>
        </w:tc>
      </w:tr>
      <w:tr w:rsidR="008D3A54" w:rsidRPr="002D3E3D" w:rsidTr="00761C75">
        <w:trPr>
          <w:trHeight w:val="258"/>
        </w:trPr>
        <w:tc>
          <w:tcPr>
            <w:tcW w:w="1139" w:type="dxa"/>
            <w:tcBorders>
              <w:top w:val="single" w:sz="8" w:space="0" w:color="666699"/>
              <w:left w:val="single" w:sz="8" w:space="0" w:color="auto"/>
              <w:right w:val="nil"/>
            </w:tcBorders>
          </w:tcPr>
          <w:p w:rsidR="008D3A54" w:rsidRPr="002D3E3D" w:rsidRDefault="008D3A54" w:rsidP="00761C75">
            <w:pPr>
              <w:jc w:val="center"/>
              <w:rPr>
                <w:szCs w:val="24"/>
              </w:rPr>
            </w:pPr>
            <w:r w:rsidRPr="002D3E3D">
              <w:rPr>
                <w:szCs w:val="24"/>
              </w:rPr>
              <w:t>3</w:t>
            </w:r>
          </w:p>
        </w:tc>
        <w:tc>
          <w:tcPr>
            <w:tcW w:w="1831" w:type="dxa"/>
            <w:tcBorders>
              <w:top w:val="single" w:sz="8" w:space="0" w:color="666699"/>
              <w:left w:val="nil"/>
              <w:right w:val="nil"/>
            </w:tcBorders>
          </w:tcPr>
          <w:p w:rsidR="008D3A54" w:rsidRPr="002D3E3D" w:rsidRDefault="008D3A54" w:rsidP="00761C75">
            <w:pPr>
              <w:jc w:val="center"/>
              <w:rPr>
                <w:szCs w:val="24"/>
              </w:rPr>
            </w:pPr>
            <w:r w:rsidRPr="002D3E3D">
              <w:rPr>
                <w:szCs w:val="24"/>
              </w:rPr>
              <w:t>24 weeks</w:t>
            </w:r>
          </w:p>
        </w:tc>
        <w:tc>
          <w:tcPr>
            <w:tcW w:w="4500" w:type="dxa"/>
            <w:tcBorders>
              <w:top w:val="single" w:sz="8" w:space="0" w:color="666699"/>
              <w:left w:val="nil"/>
              <w:right w:val="single" w:sz="8" w:space="0" w:color="auto"/>
            </w:tcBorders>
          </w:tcPr>
          <w:p w:rsidR="008D3A54" w:rsidRPr="002D3E3D" w:rsidRDefault="008D3A54" w:rsidP="00761C75">
            <w:pPr>
              <w:jc w:val="center"/>
              <w:rPr>
                <w:szCs w:val="24"/>
              </w:rPr>
            </w:pPr>
            <w:r w:rsidRPr="002D3E3D">
              <w:rPr>
                <w:szCs w:val="24"/>
              </w:rPr>
              <w:t>8 weeks*</w:t>
            </w:r>
          </w:p>
        </w:tc>
      </w:tr>
      <w:tr w:rsidR="008D3A54" w:rsidRPr="002D3E3D" w:rsidTr="00761C75">
        <w:trPr>
          <w:cantSplit/>
          <w:trHeight w:val="414"/>
        </w:trPr>
        <w:tc>
          <w:tcPr>
            <w:tcW w:w="7470" w:type="dxa"/>
            <w:gridSpan w:val="3"/>
            <w:tcBorders>
              <w:left w:val="nil"/>
              <w:bottom w:val="nil"/>
              <w:right w:val="nil"/>
            </w:tcBorders>
            <w:vAlign w:val="center"/>
          </w:tcPr>
          <w:p w:rsidR="008D3A54" w:rsidRDefault="008D3A54" w:rsidP="00761C75">
            <w:pPr>
              <w:spacing w:before="40"/>
            </w:pPr>
            <w:r w:rsidRPr="002D3E3D">
              <w:t xml:space="preserve"> *And not before 24 weeks of age</w:t>
            </w:r>
            <w:bookmarkStart w:id="0" w:name="_GoBack"/>
            <w:bookmarkEnd w:id="0"/>
          </w:p>
          <w:p w:rsidR="008D3A54" w:rsidRPr="002D3E3D" w:rsidRDefault="008D3A54" w:rsidP="00761C75">
            <w:pPr>
              <w:spacing w:before="40"/>
            </w:pPr>
          </w:p>
        </w:tc>
      </w:tr>
    </w:tbl>
    <w:p w:rsidR="008D3A54" w:rsidRDefault="008D3A54" w:rsidP="008D3A54">
      <w:pPr>
        <w:autoSpaceDE w:val="0"/>
        <w:autoSpaceDN w:val="0"/>
        <w:adjustRightInd w:val="0"/>
      </w:pPr>
      <w:r w:rsidRPr="002D3E3D">
        <w:t xml:space="preserve">Children who have fallen out of the regular schedule may also receive </w:t>
      </w:r>
      <w:r w:rsidRPr="002D3E3D">
        <w:rPr>
          <w:b/>
          <w:bCs/>
        </w:rPr>
        <w:t>PEDIARIX</w:t>
      </w:r>
      <w:r w:rsidRPr="002D3E3D">
        <w:rPr>
          <w:b/>
          <w:bCs/>
          <w:vertAlign w:val="superscript"/>
        </w:rPr>
        <w:t xml:space="preserve">® </w:t>
      </w:r>
      <w:r w:rsidRPr="002D3E3D">
        <w:t xml:space="preserve">for the primary series up to the age of 7 years. </w:t>
      </w:r>
    </w:p>
    <w:p w:rsidR="008D3A54" w:rsidRDefault="008D3A54" w:rsidP="008D3A54">
      <w:pPr>
        <w:autoSpaceDE w:val="0"/>
        <w:autoSpaceDN w:val="0"/>
        <w:adjustRightInd w:val="0"/>
        <w:spacing w:after="120"/>
        <w:rPr>
          <w:b/>
          <w:szCs w:val="24"/>
          <w:u w:val="single"/>
        </w:rPr>
      </w:pPr>
    </w:p>
    <w:p w:rsidR="008D3A54" w:rsidRPr="002D3E3D" w:rsidRDefault="008D3A54" w:rsidP="008D3A54">
      <w:pPr>
        <w:autoSpaceDE w:val="0"/>
        <w:autoSpaceDN w:val="0"/>
        <w:adjustRightInd w:val="0"/>
        <w:spacing w:after="120"/>
      </w:pPr>
      <w:r w:rsidRPr="002D3E3D">
        <w:rPr>
          <w:b/>
          <w:szCs w:val="24"/>
          <w:u w:val="single"/>
        </w:rPr>
        <w:lastRenderedPageBreak/>
        <w:t>Dosage and Route</w:t>
      </w:r>
    </w:p>
    <w:p w:rsidR="008D3A54" w:rsidRPr="002D3E3D" w:rsidRDefault="008D3A54" w:rsidP="008D3A54">
      <w:pPr>
        <w:autoSpaceDE w:val="0"/>
        <w:autoSpaceDN w:val="0"/>
        <w:adjustRightInd w:val="0"/>
        <w:spacing w:after="120"/>
      </w:pPr>
      <w:r w:rsidRPr="002D3E3D">
        <w:t xml:space="preserve">Give </w:t>
      </w:r>
      <w:r w:rsidRPr="002D3E3D">
        <w:rPr>
          <w:b/>
          <w:bCs/>
        </w:rPr>
        <w:t>PEDIARIX</w:t>
      </w:r>
      <w:r w:rsidRPr="002D3E3D">
        <w:rPr>
          <w:b/>
          <w:bCs/>
          <w:vertAlign w:val="superscript"/>
        </w:rPr>
        <w:t>®</w:t>
      </w:r>
      <w:r w:rsidRPr="002D3E3D">
        <w:t xml:space="preserve"> vaccine 0.5 mL intramuscularly (IM). </w:t>
      </w:r>
    </w:p>
    <w:p w:rsidR="008D3A54" w:rsidRPr="002D3E3D" w:rsidRDefault="008D3A54" w:rsidP="008D3A54">
      <w:pPr>
        <w:widowControl w:val="0"/>
        <w:spacing w:before="120"/>
      </w:pPr>
      <w:r w:rsidRPr="002D3E3D">
        <w:rPr>
          <w:b/>
        </w:rPr>
        <w:t>Always check the package insert prior to administration of any vaccine</w:t>
      </w:r>
      <w:r w:rsidRPr="002D3E3D">
        <w:t xml:space="preserve">.  </w:t>
      </w:r>
    </w:p>
    <w:p w:rsidR="008D3A54" w:rsidRPr="002D3E3D" w:rsidRDefault="008D3A54" w:rsidP="008D3A54">
      <w:pPr>
        <w:widowControl w:val="0"/>
        <w:spacing w:before="120"/>
        <w:rPr>
          <w:b/>
          <w:u w:val="single"/>
        </w:rPr>
      </w:pPr>
    </w:p>
    <w:p w:rsidR="008D3A54" w:rsidRPr="002D3E3D" w:rsidRDefault="008D3A54" w:rsidP="008D3A54">
      <w:pPr>
        <w:autoSpaceDE w:val="0"/>
        <w:autoSpaceDN w:val="0"/>
        <w:adjustRightInd w:val="0"/>
        <w:spacing w:after="120"/>
        <w:rPr>
          <w:b/>
          <w:szCs w:val="24"/>
          <w:u w:val="single"/>
        </w:rPr>
      </w:pPr>
      <w:r w:rsidRPr="002D3E3D">
        <w:rPr>
          <w:b/>
          <w:szCs w:val="24"/>
          <w:u w:val="single"/>
        </w:rPr>
        <w:t xml:space="preserve">Anatomical Site </w:t>
      </w:r>
    </w:p>
    <w:p w:rsidR="008D3A54" w:rsidRPr="002D3E3D" w:rsidRDefault="008D3A54" w:rsidP="008D3A54">
      <w:pPr>
        <w:autoSpaceDE w:val="0"/>
        <w:autoSpaceDN w:val="0"/>
        <w:adjustRightInd w:val="0"/>
        <w:rPr>
          <w:b/>
          <w:u w:val="single"/>
        </w:rPr>
      </w:pPr>
      <w:r w:rsidRPr="002D3E3D">
        <w:t xml:space="preserve">The preferred sites are the anterolateral aspects of the thigh or into the deltoid muscle.  The vaccine </w:t>
      </w:r>
      <w:proofErr w:type="gramStart"/>
      <w:r w:rsidRPr="002D3E3D">
        <w:t>should not be injected</w:t>
      </w:r>
      <w:proofErr w:type="gramEnd"/>
      <w:r w:rsidRPr="002D3E3D">
        <w:t xml:space="preserve"> into the gluteal area or areas where there is a major nerve trunk.</w:t>
      </w:r>
    </w:p>
    <w:p w:rsidR="008D3A54" w:rsidRPr="002D3E3D" w:rsidRDefault="008D3A54" w:rsidP="008D3A54">
      <w:pPr>
        <w:autoSpaceDE w:val="0"/>
        <w:autoSpaceDN w:val="0"/>
        <w:adjustRightInd w:val="0"/>
        <w:spacing w:after="120"/>
        <w:rPr>
          <w:b/>
          <w:szCs w:val="24"/>
          <w:u w:val="single"/>
        </w:rPr>
      </w:pPr>
    </w:p>
    <w:p w:rsidR="008D3A54" w:rsidRPr="002D3E3D" w:rsidRDefault="008D3A54" w:rsidP="008D3A54">
      <w:pPr>
        <w:autoSpaceDE w:val="0"/>
        <w:autoSpaceDN w:val="0"/>
        <w:adjustRightInd w:val="0"/>
        <w:spacing w:after="120"/>
        <w:rPr>
          <w:b/>
          <w:szCs w:val="24"/>
          <w:u w:val="single"/>
        </w:rPr>
      </w:pPr>
      <w:r w:rsidRPr="002D3E3D">
        <w:rPr>
          <w:b/>
          <w:szCs w:val="24"/>
          <w:u w:val="single"/>
        </w:rPr>
        <w:t>Precautions</w:t>
      </w:r>
    </w:p>
    <w:p w:rsidR="008D3A54" w:rsidRPr="002D3E3D" w:rsidRDefault="008D3A54" w:rsidP="008D3A54">
      <w:pPr>
        <w:widowControl w:val="0"/>
        <w:numPr>
          <w:ilvl w:val="0"/>
          <w:numId w:val="1"/>
        </w:num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2D3E3D">
        <w:t>Moderate to severe illness, with or without fever (temporary precaution)</w:t>
      </w:r>
    </w:p>
    <w:p w:rsidR="008D3A54" w:rsidRPr="002D3E3D" w:rsidRDefault="008D3A54" w:rsidP="008D3A54">
      <w:pPr>
        <w:widowControl w:val="0"/>
        <w:numPr>
          <w:ilvl w:val="0"/>
          <w:numId w:val="1"/>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2D3E3D">
        <w:rPr>
          <w:b/>
          <w:bCs/>
        </w:rPr>
        <w:t>PEDIARIX</w:t>
      </w:r>
      <w:r w:rsidRPr="002D3E3D">
        <w:rPr>
          <w:b/>
          <w:bCs/>
          <w:vertAlign w:val="superscript"/>
        </w:rPr>
        <w:t>®</w:t>
      </w:r>
      <w:r w:rsidRPr="002D3E3D">
        <w:t xml:space="preserve"> </w:t>
      </w:r>
      <w:proofErr w:type="gramStart"/>
      <w:r w:rsidRPr="002D3E3D">
        <w:t>should be given</w:t>
      </w:r>
      <w:proofErr w:type="gramEnd"/>
      <w:r w:rsidRPr="002D3E3D">
        <w:t xml:space="preserve"> with caution in children with bleeding disorders such as hemophilia or thrombocytopenia, with steps taken to avoid the risk of hematoma following injection.</w:t>
      </w:r>
    </w:p>
    <w:p w:rsidR="008D3A54" w:rsidRPr="002D3E3D" w:rsidRDefault="008D3A54" w:rsidP="008D3A54">
      <w:pPr>
        <w:widowControl w:val="0"/>
        <w:numPr>
          <w:ilvl w:val="0"/>
          <w:numId w:val="1"/>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2D3E3D">
        <w:t>As with other intramuscular injections, use with caution in patients on anticoagulant therapy.</w:t>
      </w:r>
    </w:p>
    <w:p w:rsidR="008D3A54" w:rsidRPr="002D3E3D" w:rsidRDefault="008D3A54" w:rsidP="008D3A54">
      <w:pPr>
        <w:widowControl w:val="0"/>
        <w:numPr>
          <w:ilvl w:val="0"/>
          <w:numId w:val="1"/>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2D3E3D">
        <w:t xml:space="preserve">As with any vaccine, if administered to immunosuppressed persons, including individuals receiving immunosuppressive therapy, the expected immune response </w:t>
      </w:r>
      <w:proofErr w:type="gramStart"/>
      <w:r w:rsidRPr="002D3E3D">
        <w:t>may not be obtained</w:t>
      </w:r>
      <w:proofErr w:type="gramEnd"/>
      <w:r w:rsidRPr="002D3E3D">
        <w:t>.  See package insert about immunosuppressive therapies.</w:t>
      </w:r>
    </w:p>
    <w:p w:rsidR="008D3A54" w:rsidRPr="002D3E3D" w:rsidRDefault="008D3A54" w:rsidP="008D3A54">
      <w:pPr>
        <w:widowControl w:val="0"/>
        <w:numPr>
          <w:ilvl w:val="0"/>
          <w:numId w:val="1"/>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u w:val="single"/>
        </w:rPr>
      </w:pPr>
      <w:r w:rsidRPr="002D3E3D">
        <w:t>While the single dose vial is latex-free, the tip cap and rubber plunger of the needle-less, pre-filled syringes contains dry natural rubber latex that may cause allergic reactions in latex sensitive individuals.</w:t>
      </w:r>
    </w:p>
    <w:p w:rsidR="008D3A54" w:rsidRPr="002D3E3D" w:rsidRDefault="008D3A54" w:rsidP="008D3A54">
      <w:pPr>
        <w:tabs>
          <w:tab w:val="left" w:pos="3240"/>
        </w:tabs>
        <w:autoSpaceDE w:val="0"/>
        <w:autoSpaceDN w:val="0"/>
        <w:adjustRightInd w:val="0"/>
        <w:spacing w:after="120"/>
        <w:rPr>
          <w:b/>
          <w:szCs w:val="24"/>
          <w:u w:val="single"/>
        </w:rPr>
      </w:pPr>
    </w:p>
    <w:p w:rsidR="008D3A54" w:rsidRPr="002D3E3D" w:rsidRDefault="008D3A54" w:rsidP="008D3A54">
      <w:pPr>
        <w:tabs>
          <w:tab w:val="left" w:pos="3240"/>
        </w:tabs>
        <w:autoSpaceDE w:val="0"/>
        <w:autoSpaceDN w:val="0"/>
        <w:adjustRightInd w:val="0"/>
        <w:spacing w:after="120"/>
        <w:rPr>
          <w:b/>
          <w:szCs w:val="24"/>
          <w:u w:val="single"/>
        </w:rPr>
      </w:pPr>
      <w:r w:rsidRPr="002D3E3D">
        <w:rPr>
          <w:b/>
          <w:szCs w:val="24"/>
          <w:u w:val="single"/>
        </w:rPr>
        <w:t>Contraindications</w:t>
      </w:r>
    </w:p>
    <w:p w:rsidR="008D3A54" w:rsidRPr="002D3E3D" w:rsidRDefault="008D3A54" w:rsidP="008D3A54">
      <w:pPr>
        <w:tabs>
          <w:tab w:val="left" w:pos="3240"/>
        </w:tabs>
        <w:autoSpaceDE w:val="0"/>
        <w:autoSpaceDN w:val="0"/>
        <w:adjustRightInd w:val="0"/>
      </w:pPr>
      <w:r w:rsidRPr="002D3E3D">
        <w:t>Individuals with:</w:t>
      </w:r>
    </w:p>
    <w:p w:rsidR="008D3A54" w:rsidRPr="002D3E3D" w:rsidRDefault="008D3A54" w:rsidP="008D3A54">
      <w:pPr>
        <w:numPr>
          <w:ilvl w:val="0"/>
          <w:numId w:val="2"/>
        </w:numPr>
        <w:tabs>
          <w:tab w:val="left" w:pos="3240"/>
        </w:tabs>
        <w:autoSpaceDE w:val="0"/>
        <w:autoSpaceDN w:val="0"/>
        <w:adjustRightInd w:val="0"/>
      </w:pPr>
      <w:r w:rsidRPr="002D3E3D">
        <w:t xml:space="preserve">Anaphylactic reaction to previous dose of this vaccine or with any component of this vaccine (see package insert). </w:t>
      </w:r>
    </w:p>
    <w:p w:rsidR="008D3A54" w:rsidRPr="002D3E3D" w:rsidRDefault="008D3A54" w:rsidP="008D3A54">
      <w:pPr>
        <w:numPr>
          <w:ilvl w:val="0"/>
          <w:numId w:val="2"/>
        </w:numPr>
        <w:tabs>
          <w:tab w:val="left" w:pos="3240"/>
        </w:tabs>
        <w:autoSpaceDE w:val="0"/>
        <w:autoSpaceDN w:val="0"/>
        <w:adjustRightInd w:val="0"/>
      </w:pPr>
      <w:r w:rsidRPr="002D3E3D">
        <w:t xml:space="preserve">Hypersensitivity to any component of the vaccine, including yeast, neomycin, and </w:t>
      </w:r>
      <w:proofErr w:type="spellStart"/>
      <w:r w:rsidRPr="002D3E3D">
        <w:t>polymyxin</w:t>
      </w:r>
      <w:proofErr w:type="spellEnd"/>
      <w:r w:rsidRPr="002D3E3D">
        <w:t xml:space="preserve"> B, is a contraindication.</w:t>
      </w:r>
    </w:p>
    <w:p w:rsidR="008D3A54" w:rsidRPr="002D3E3D" w:rsidRDefault="008D3A54" w:rsidP="008D3A54">
      <w:pPr>
        <w:numPr>
          <w:ilvl w:val="0"/>
          <w:numId w:val="2"/>
        </w:numPr>
        <w:tabs>
          <w:tab w:val="left" w:pos="3240"/>
        </w:tabs>
        <w:autoSpaceDE w:val="0"/>
        <w:autoSpaceDN w:val="0"/>
        <w:adjustRightInd w:val="0"/>
      </w:pPr>
      <w:r w:rsidRPr="002D3E3D">
        <w:t>This vaccine is not recommended for persons before the age of 6 week or for those persons 7</w:t>
      </w:r>
      <w:r>
        <w:t> </w:t>
      </w:r>
      <w:r w:rsidRPr="002D3E3D">
        <w:t>years of age and older.</w:t>
      </w:r>
    </w:p>
    <w:p w:rsidR="008D3A54" w:rsidRPr="002D3E3D" w:rsidRDefault="008D3A54" w:rsidP="008D3A54">
      <w:pPr>
        <w:numPr>
          <w:ilvl w:val="0"/>
          <w:numId w:val="2"/>
        </w:numPr>
        <w:tabs>
          <w:tab w:val="left" w:pos="3240"/>
        </w:tabs>
        <w:spacing w:after="60"/>
        <w:outlineLvl w:val="0"/>
      </w:pPr>
      <w:r w:rsidRPr="002D3E3D">
        <w:t xml:space="preserve">The contraindications and precautions for </w:t>
      </w:r>
      <w:proofErr w:type="spellStart"/>
      <w:r w:rsidRPr="002D3E3D">
        <w:t>DTaP</w:t>
      </w:r>
      <w:proofErr w:type="spellEnd"/>
      <w:r w:rsidRPr="002D3E3D">
        <w:t>-</w:t>
      </w:r>
      <w:proofErr w:type="spellStart"/>
      <w:r w:rsidRPr="002D3E3D">
        <w:t>HepB</w:t>
      </w:r>
      <w:proofErr w:type="spellEnd"/>
      <w:r w:rsidRPr="002D3E3D">
        <w:t>-IPV</w:t>
      </w:r>
      <w:r w:rsidRPr="002D3E3D">
        <w:rPr>
          <w:b/>
          <w:bCs/>
        </w:rPr>
        <w:t xml:space="preserve"> </w:t>
      </w:r>
      <w:r w:rsidRPr="002D3E3D">
        <w:t xml:space="preserve">are the same as they would be for any of its individual component vaccines.  Please refer to the package insert for a complete list of contraindications and precautions and to immunization protocols for individual component vaccines. </w:t>
      </w:r>
    </w:p>
    <w:p w:rsidR="008D3A54" w:rsidRPr="002D3E3D" w:rsidRDefault="008D3A54" w:rsidP="008D3A54">
      <w:pPr>
        <w:numPr>
          <w:ilvl w:val="0"/>
          <w:numId w:val="2"/>
        </w:numPr>
        <w:tabs>
          <w:tab w:val="left" w:pos="9360"/>
        </w:tabs>
        <w:autoSpaceDE w:val="0"/>
        <w:autoSpaceDN w:val="0"/>
        <w:adjustRightInd w:val="0"/>
      </w:pPr>
      <w:r w:rsidRPr="002D3E3D">
        <w:t xml:space="preserve">Encephalopathy within 7 days of administration of a previous dose of a pertussis containing vaccine </w:t>
      </w:r>
    </w:p>
    <w:p w:rsidR="008D3A54" w:rsidRDefault="008D3A54" w:rsidP="008D3A54">
      <w:pPr>
        <w:numPr>
          <w:ilvl w:val="0"/>
          <w:numId w:val="2"/>
        </w:numPr>
        <w:autoSpaceDE w:val="0"/>
        <w:autoSpaceDN w:val="0"/>
        <w:adjustRightInd w:val="0"/>
      </w:pPr>
      <w:r w:rsidRPr="002D3E3D">
        <w:t>Evolving neurologic disease, including infantile spasms, epilepsy or  progressive encephalopathy</w:t>
      </w:r>
    </w:p>
    <w:p w:rsidR="008D3A54" w:rsidRDefault="008D3A54" w:rsidP="008D3A54">
      <w:pPr>
        <w:numPr>
          <w:ilvl w:val="0"/>
          <w:numId w:val="2"/>
        </w:numPr>
        <w:autoSpaceDE w:val="0"/>
        <w:autoSpaceDN w:val="0"/>
        <w:adjustRightInd w:val="0"/>
        <w:sectPr w:rsidR="008D3A54" w:rsidSect="00FE2BD9">
          <w:footerReference w:type="default" r:id="rId7"/>
          <w:pgSz w:w="12240" w:h="15840" w:code="1"/>
          <w:pgMar w:top="1440" w:right="1170" w:bottom="1440" w:left="1440" w:header="720" w:footer="576" w:gutter="0"/>
          <w:pgNumType w:start="1"/>
          <w:cols w:space="720"/>
        </w:sectPr>
      </w:pPr>
    </w:p>
    <w:p w:rsidR="008D3A54" w:rsidRPr="002D3E3D" w:rsidRDefault="008D3A54" w:rsidP="008D3A54">
      <w:pPr>
        <w:autoSpaceDE w:val="0"/>
        <w:autoSpaceDN w:val="0"/>
        <w:adjustRightInd w:val="0"/>
        <w:ind w:left="720"/>
      </w:pPr>
    </w:p>
    <w:p w:rsidR="008D3A54" w:rsidRDefault="008D3A54" w:rsidP="008D3A54">
      <w:pPr>
        <w:keepNext/>
        <w:keepLines/>
        <w:autoSpaceDE w:val="0"/>
        <w:autoSpaceDN w:val="0"/>
        <w:adjustRightInd w:val="0"/>
        <w:rPr>
          <w:b/>
          <w:szCs w:val="24"/>
          <w:u w:val="single"/>
        </w:rPr>
      </w:pPr>
      <w:r w:rsidRPr="002D3E3D">
        <w:rPr>
          <w:b/>
          <w:szCs w:val="24"/>
          <w:u w:val="single"/>
        </w:rPr>
        <w:t>Adverse Events</w:t>
      </w:r>
    </w:p>
    <w:p w:rsidR="008D3A54" w:rsidRDefault="008D3A54" w:rsidP="008D3A54">
      <w:pPr>
        <w:keepNext/>
        <w:keepLines/>
        <w:autoSpaceDE w:val="0"/>
        <w:autoSpaceDN w:val="0"/>
        <w:adjustRightInd w:val="0"/>
        <w:rPr>
          <w:szCs w:val="24"/>
        </w:rPr>
      </w:pPr>
      <w:r w:rsidRPr="002D3E3D">
        <w:rPr>
          <w:b/>
          <w:szCs w:val="24"/>
          <w:u w:val="single"/>
        </w:rPr>
        <w:t xml:space="preserve"> </w:t>
      </w:r>
    </w:p>
    <w:p w:rsidR="008D3A54" w:rsidRPr="004B5F3E" w:rsidRDefault="008D3A54" w:rsidP="008D3A54">
      <w:pPr>
        <w:pStyle w:val="ListParagraph"/>
        <w:keepNext/>
        <w:keepLines/>
        <w:numPr>
          <w:ilvl w:val="0"/>
          <w:numId w:val="6"/>
        </w:numPr>
        <w:autoSpaceDE w:val="0"/>
        <w:autoSpaceDN w:val="0"/>
        <w:adjustRightInd w:val="0"/>
        <w:rPr>
          <w:b/>
          <w:sz w:val="22"/>
          <w:szCs w:val="22"/>
          <w:u w:val="single"/>
        </w:rPr>
      </w:pPr>
      <w:r w:rsidRPr="000C75AE">
        <w:rPr>
          <w:sz w:val="22"/>
          <w:szCs w:val="22"/>
        </w:rPr>
        <w:t>See the product’s package insert</w:t>
      </w:r>
    </w:p>
    <w:p w:rsidR="008D3A54" w:rsidRPr="004B5F3E" w:rsidRDefault="008D3A54" w:rsidP="008D3A54">
      <w:pPr>
        <w:pStyle w:val="ListParagraph"/>
        <w:numPr>
          <w:ilvl w:val="0"/>
          <w:numId w:val="6"/>
        </w:numPr>
        <w:autoSpaceDE w:val="0"/>
        <w:autoSpaceDN w:val="0"/>
        <w:adjustRightInd w:val="0"/>
        <w:rPr>
          <w:sz w:val="22"/>
          <w:szCs w:val="22"/>
        </w:rPr>
      </w:pPr>
      <w:r w:rsidRPr="004B5F3E">
        <w:rPr>
          <w:sz w:val="22"/>
          <w:szCs w:val="22"/>
        </w:rPr>
        <w:t>See Adverse Events Following Vaccinations</w:t>
      </w:r>
      <w:r>
        <w:rPr>
          <w:sz w:val="22"/>
          <w:szCs w:val="22"/>
        </w:rPr>
        <w:t xml:space="preserve"> page of this section</w:t>
      </w:r>
    </w:p>
    <w:p w:rsidR="008D3A54" w:rsidRPr="000C75AE" w:rsidRDefault="008D3A54" w:rsidP="008D3A54">
      <w:pPr>
        <w:pStyle w:val="ListParagraph"/>
        <w:autoSpaceDE w:val="0"/>
        <w:autoSpaceDN w:val="0"/>
        <w:adjustRightInd w:val="0"/>
        <w:rPr>
          <w:b/>
          <w:sz w:val="22"/>
          <w:szCs w:val="22"/>
          <w:u w:val="single"/>
        </w:rPr>
      </w:pPr>
    </w:p>
    <w:p w:rsidR="008D3A54" w:rsidRPr="000C75AE" w:rsidRDefault="008D3A54" w:rsidP="008D3A54">
      <w:pPr>
        <w:pStyle w:val="ListParagraph"/>
        <w:autoSpaceDE w:val="0"/>
        <w:autoSpaceDN w:val="0"/>
        <w:adjustRightInd w:val="0"/>
        <w:rPr>
          <w:sz w:val="22"/>
          <w:szCs w:val="22"/>
        </w:rPr>
      </w:pPr>
    </w:p>
    <w:p w:rsidR="008D3A54" w:rsidRPr="002D3E3D" w:rsidRDefault="008D3A54" w:rsidP="008D3A54">
      <w:pPr>
        <w:tabs>
          <w:tab w:val="left" w:pos="3240"/>
        </w:tabs>
        <w:autoSpaceDE w:val="0"/>
        <w:autoSpaceDN w:val="0"/>
        <w:adjustRightInd w:val="0"/>
        <w:spacing w:after="120"/>
        <w:rPr>
          <w:b/>
          <w:szCs w:val="24"/>
          <w:u w:val="single"/>
        </w:rPr>
      </w:pPr>
      <w:r w:rsidRPr="002D3E3D">
        <w:rPr>
          <w:b/>
          <w:szCs w:val="24"/>
          <w:u w:val="single"/>
        </w:rPr>
        <w:t>Storage and Handling</w:t>
      </w:r>
    </w:p>
    <w:p w:rsidR="008D3A54" w:rsidRPr="002D3E3D" w:rsidRDefault="008D3A54" w:rsidP="008D3A54">
      <w:pPr>
        <w:numPr>
          <w:ilvl w:val="0"/>
          <w:numId w:val="3"/>
        </w:numPr>
        <w:autoSpaceDE w:val="0"/>
        <w:autoSpaceDN w:val="0"/>
        <w:adjustRightInd w:val="0"/>
        <w:rPr>
          <w:b/>
          <w:u w:val="single"/>
        </w:rPr>
      </w:pPr>
      <w:r w:rsidRPr="002D3E3D">
        <w:t>Store in refrigerator at 36</w:t>
      </w:r>
      <w:r w:rsidRPr="002D3E3D">
        <w:rPr>
          <w:vertAlign w:val="superscript"/>
        </w:rPr>
        <w:t>o</w:t>
      </w:r>
      <w:r w:rsidRPr="002D3E3D">
        <w:t>F – 46</w:t>
      </w:r>
      <w:r w:rsidRPr="002D3E3D">
        <w:rPr>
          <w:vertAlign w:val="superscript"/>
        </w:rPr>
        <w:t>o</w:t>
      </w:r>
      <w:r w:rsidRPr="002D3E3D">
        <w:t>F (2</w:t>
      </w:r>
      <w:r w:rsidRPr="002D3E3D">
        <w:rPr>
          <w:vertAlign w:val="superscript"/>
        </w:rPr>
        <w:t>o</w:t>
      </w:r>
      <w:r w:rsidRPr="002D3E3D">
        <w:t>C – 8</w:t>
      </w:r>
      <w:r w:rsidRPr="002D3E3D">
        <w:rPr>
          <w:vertAlign w:val="superscript"/>
        </w:rPr>
        <w:t>o</w:t>
      </w:r>
      <w:r w:rsidRPr="002D3E3D">
        <w:t>C)</w:t>
      </w:r>
    </w:p>
    <w:p w:rsidR="008D3A54" w:rsidRPr="002D3E3D" w:rsidRDefault="008D3A54" w:rsidP="008D3A54">
      <w:pPr>
        <w:numPr>
          <w:ilvl w:val="0"/>
          <w:numId w:val="3"/>
        </w:numPr>
        <w:autoSpaceDE w:val="0"/>
        <w:autoSpaceDN w:val="0"/>
        <w:adjustRightInd w:val="0"/>
      </w:pPr>
      <w:r w:rsidRPr="002D3E3D">
        <w:t xml:space="preserve">DO NOT FREEZE; discard if product </w:t>
      </w:r>
      <w:proofErr w:type="gramStart"/>
      <w:r w:rsidRPr="002D3E3D">
        <w:t>has been frozen</w:t>
      </w:r>
      <w:proofErr w:type="gramEnd"/>
      <w:r w:rsidRPr="002D3E3D">
        <w:t>.</w:t>
      </w:r>
    </w:p>
    <w:p w:rsidR="008D3A54" w:rsidRPr="002D3E3D" w:rsidRDefault="008D3A54" w:rsidP="008D3A54">
      <w:pPr>
        <w:autoSpaceDE w:val="0"/>
        <w:autoSpaceDN w:val="0"/>
        <w:adjustRightInd w:val="0"/>
        <w:rPr>
          <w:b/>
          <w:szCs w:val="24"/>
          <w:u w:val="single"/>
        </w:rPr>
      </w:pPr>
    </w:p>
    <w:p w:rsidR="008D3A54" w:rsidRPr="002D3E3D" w:rsidRDefault="008D3A54" w:rsidP="008D3A54">
      <w:pPr>
        <w:tabs>
          <w:tab w:val="left" w:pos="3240"/>
        </w:tabs>
        <w:autoSpaceDE w:val="0"/>
        <w:autoSpaceDN w:val="0"/>
        <w:adjustRightInd w:val="0"/>
        <w:spacing w:after="120"/>
        <w:rPr>
          <w:b/>
          <w:szCs w:val="24"/>
          <w:u w:val="single"/>
        </w:rPr>
      </w:pPr>
      <w:r w:rsidRPr="002D3E3D">
        <w:rPr>
          <w:b/>
          <w:szCs w:val="24"/>
          <w:u w:val="single"/>
        </w:rPr>
        <w:t>Additional Information</w:t>
      </w:r>
    </w:p>
    <w:p w:rsidR="008D3A54" w:rsidRPr="002D3E3D" w:rsidRDefault="008D3A54" w:rsidP="008D3A54">
      <w:pPr>
        <w:numPr>
          <w:ilvl w:val="0"/>
          <w:numId w:val="5"/>
        </w:numPr>
      </w:pPr>
      <w:r w:rsidRPr="002D3E3D">
        <w:t>Vaccine Information Statements</w:t>
      </w:r>
    </w:p>
    <w:p w:rsidR="008D3A54" w:rsidRPr="002D3E3D" w:rsidRDefault="008D3A54" w:rsidP="008D3A54">
      <w:pPr>
        <w:ind w:left="720"/>
        <w:rPr>
          <w:b/>
          <w:bCs/>
        </w:rPr>
      </w:pPr>
      <w:r w:rsidRPr="002D3E3D">
        <w:rPr>
          <w:bCs/>
        </w:rPr>
        <w:t xml:space="preserve">There is not a specific Vaccine Information Statement (VIS) for </w:t>
      </w:r>
      <w:r w:rsidRPr="002D3E3D">
        <w:rPr>
          <w:b/>
          <w:bCs/>
        </w:rPr>
        <w:t>PEDIARIX</w:t>
      </w:r>
      <w:r w:rsidRPr="002D3E3D">
        <w:rPr>
          <w:b/>
          <w:bCs/>
          <w:vertAlign w:val="superscript"/>
        </w:rPr>
        <w:t>®</w:t>
      </w:r>
      <w:r w:rsidRPr="002D3E3D">
        <w:rPr>
          <w:bCs/>
        </w:rPr>
        <w:t xml:space="preserve">.  When administering a combination vaccine, the VISs for the individual component vaccines </w:t>
      </w:r>
      <w:proofErr w:type="gramStart"/>
      <w:r w:rsidRPr="002D3E3D">
        <w:rPr>
          <w:bCs/>
        </w:rPr>
        <w:t>must be supplied</w:t>
      </w:r>
      <w:proofErr w:type="gramEnd"/>
      <w:r w:rsidRPr="002D3E3D">
        <w:rPr>
          <w:bCs/>
        </w:rPr>
        <w:t xml:space="preserve">. </w:t>
      </w:r>
      <w:r>
        <w:rPr>
          <w:bCs/>
        </w:rPr>
        <w:t xml:space="preserve"> </w:t>
      </w:r>
      <w:proofErr w:type="spellStart"/>
      <w:r w:rsidRPr="002D3E3D">
        <w:rPr>
          <w:bCs/>
        </w:rPr>
        <w:t>DTaP</w:t>
      </w:r>
      <w:proofErr w:type="spellEnd"/>
      <w:r w:rsidRPr="002D3E3D">
        <w:rPr>
          <w:bCs/>
        </w:rPr>
        <w:t>-</w:t>
      </w:r>
      <w:proofErr w:type="spellStart"/>
      <w:r w:rsidRPr="002D3E3D">
        <w:rPr>
          <w:bCs/>
        </w:rPr>
        <w:t>HepB</w:t>
      </w:r>
      <w:proofErr w:type="spellEnd"/>
      <w:r w:rsidRPr="002D3E3D">
        <w:rPr>
          <w:bCs/>
        </w:rPr>
        <w:t>-IPV</w:t>
      </w:r>
      <w:r w:rsidRPr="002D3E3D">
        <w:t xml:space="preserve"> </w:t>
      </w:r>
      <w:r w:rsidRPr="002D3E3D">
        <w:rPr>
          <w:bCs/>
        </w:rPr>
        <w:t xml:space="preserve">may be used interchangeably with other </w:t>
      </w:r>
      <w:proofErr w:type="gramStart"/>
      <w:r w:rsidRPr="002D3E3D">
        <w:rPr>
          <w:bCs/>
        </w:rPr>
        <w:t>pertussis-containing</w:t>
      </w:r>
      <w:proofErr w:type="gramEnd"/>
      <w:r w:rsidRPr="002D3E3D">
        <w:rPr>
          <w:bCs/>
        </w:rPr>
        <w:t xml:space="preserve"> or </w:t>
      </w:r>
      <w:proofErr w:type="spellStart"/>
      <w:r w:rsidRPr="002D3E3D">
        <w:rPr>
          <w:bCs/>
        </w:rPr>
        <w:t>HepB</w:t>
      </w:r>
      <w:proofErr w:type="spellEnd"/>
      <w:r w:rsidRPr="002D3E3D">
        <w:rPr>
          <w:bCs/>
        </w:rPr>
        <w:t xml:space="preserve"> vaccines.  </w:t>
      </w:r>
    </w:p>
    <w:p w:rsidR="008D3A54" w:rsidRPr="002D3E3D" w:rsidRDefault="008D3A54" w:rsidP="008D3A54">
      <w:pPr>
        <w:numPr>
          <w:ilvl w:val="0"/>
          <w:numId w:val="5"/>
        </w:numPr>
        <w:autoSpaceDE w:val="0"/>
        <w:autoSpaceDN w:val="0"/>
        <w:adjustRightInd w:val="0"/>
        <w:rPr>
          <w:bCs/>
        </w:rPr>
      </w:pPr>
      <w:proofErr w:type="spellStart"/>
      <w:r w:rsidRPr="002D3E3D">
        <w:t>DTaP</w:t>
      </w:r>
      <w:proofErr w:type="spellEnd"/>
      <w:r w:rsidRPr="002D3E3D">
        <w:t>-</w:t>
      </w:r>
      <w:proofErr w:type="spellStart"/>
      <w:r w:rsidRPr="002D3E3D">
        <w:t>HepB</w:t>
      </w:r>
      <w:proofErr w:type="spellEnd"/>
      <w:r w:rsidRPr="002D3E3D">
        <w:t xml:space="preserve">-IPV </w:t>
      </w:r>
      <w:proofErr w:type="gramStart"/>
      <w:r w:rsidRPr="002D3E3D">
        <w:t>is considered</w:t>
      </w:r>
      <w:proofErr w:type="gramEnd"/>
      <w:r w:rsidRPr="002D3E3D">
        <w:t xml:space="preserve"> preservative-free.  However, a trace amount of </w:t>
      </w:r>
      <w:proofErr w:type="spellStart"/>
      <w:r w:rsidRPr="002D3E3D">
        <w:t>thimerosal</w:t>
      </w:r>
      <w:proofErr w:type="spellEnd"/>
      <w:r w:rsidRPr="002D3E3D">
        <w:t xml:space="preserve"> (&lt;0.0125 mcg/0.5 mL) is present.  </w:t>
      </w:r>
    </w:p>
    <w:p w:rsidR="008D3A54" w:rsidRPr="002D3E3D" w:rsidRDefault="008D3A54" w:rsidP="008D3A54">
      <w:pPr>
        <w:autoSpaceDE w:val="0"/>
        <w:autoSpaceDN w:val="0"/>
        <w:adjustRightInd w:val="0"/>
        <w:rPr>
          <w:bCs/>
        </w:rPr>
      </w:pPr>
    </w:p>
    <w:p w:rsidR="008D3A54" w:rsidRPr="002D3E3D" w:rsidRDefault="008D3A54" w:rsidP="008D3A54">
      <w:pPr>
        <w:autoSpaceDE w:val="0"/>
        <w:autoSpaceDN w:val="0"/>
        <w:adjustRightInd w:val="0"/>
        <w:rPr>
          <w:bCs/>
        </w:rPr>
      </w:pPr>
    </w:p>
    <w:p w:rsidR="008D3A54" w:rsidRPr="002D3E3D" w:rsidRDefault="008D3A54" w:rsidP="008D3A54">
      <w:pPr>
        <w:autoSpaceDE w:val="0"/>
        <w:autoSpaceDN w:val="0"/>
        <w:adjustRightInd w:val="0"/>
        <w:rPr>
          <w:bCs/>
        </w:rPr>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Pr="00010FA1" w:rsidRDefault="008D3A54" w:rsidP="008D3A54">
      <w:pPr>
        <w:autoSpaceDE w:val="0"/>
        <w:autoSpaceDN w:val="0"/>
        <w:adjustRightInd w:val="0"/>
        <w:rPr>
          <w:b/>
        </w:rPr>
      </w:pPr>
      <w:r w:rsidRPr="00010FA1">
        <w:rPr>
          <w:b/>
          <w:u w:val="single"/>
        </w:rPr>
        <w:t>References</w:t>
      </w:r>
      <w:r w:rsidRPr="00010FA1">
        <w:rPr>
          <w:b/>
        </w:rPr>
        <w:t>:</w:t>
      </w:r>
    </w:p>
    <w:p w:rsidR="008D3A54" w:rsidRDefault="008D3A54" w:rsidP="008D3A54">
      <w:pPr>
        <w:autoSpaceDE w:val="0"/>
        <w:autoSpaceDN w:val="0"/>
        <w:adjustRightInd w:val="0"/>
      </w:pPr>
    </w:p>
    <w:p w:rsidR="008D3A54" w:rsidRDefault="008D3A54" w:rsidP="008D3A54">
      <w:pPr>
        <w:autoSpaceDE w:val="0"/>
        <w:autoSpaceDN w:val="0"/>
        <w:adjustRightInd w:val="0"/>
      </w:pPr>
      <w:r>
        <w:t>Package Insert</w:t>
      </w:r>
      <w:r w:rsidRPr="00271F81">
        <w:t xml:space="preserve"> </w:t>
      </w:r>
      <w:r>
        <w:t xml:space="preserve">– PEDIARIX (Dated 10/2016), </w:t>
      </w:r>
      <w:hyperlink r:id="rId8" w:history="1">
        <w:r w:rsidRPr="00D15D07">
          <w:rPr>
            <w:rStyle w:val="Hyperlink"/>
          </w:rPr>
          <w:t>https://www.gsksource.com/pharma/content/dam/GlaxoSmithKline/US/en/Prescribing_Information/Pediarix/pdf/PEDIARIX.PDF</w:t>
        </w:r>
      </w:hyperlink>
      <w:r>
        <w:t xml:space="preserve">.  </w:t>
      </w: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8D3A54" w:rsidRDefault="008D3A54" w:rsidP="008D3A54">
      <w:pPr>
        <w:autoSpaceDE w:val="0"/>
        <w:autoSpaceDN w:val="0"/>
        <w:adjustRightInd w:val="0"/>
      </w:pPr>
    </w:p>
    <w:p w:rsidR="00F25F63" w:rsidRDefault="008D3A54" w:rsidP="008D3A54">
      <w:r>
        <w:t>Last updated August 1, 2012 and July 1, 2017</w:t>
      </w:r>
    </w:p>
    <w:sectPr w:rsidR="00F25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70" w:rsidRDefault="00F61F70" w:rsidP="008D3A54">
      <w:r>
        <w:separator/>
      </w:r>
    </w:p>
  </w:endnote>
  <w:endnote w:type="continuationSeparator" w:id="0">
    <w:p w:rsidR="00F61F70" w:rsidRDefault="00F61F70" w:rsidP="008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4" w:rsidRDefault="008D3A54">
    <w:pPr>
      <w:pStyle w:val="Footer"/>
      <w:jc w:val="center"/>
      <w:rPr>
        <w:color w:val="auto"/>
        <w:sz w:val="16"/>
        <w:szCs w:val="16"/>
      </w:rPr>
    </w:pPr>
    <w:r w:rsidRPr="008D3A54">
      <w:rPr>
        <w:color w:val="auto"/>
        <w:sz w:val="16"/>
        <w:szCs w:val="16"/>
      </w:rPr>
      <w:t xml:space="preserve">Page </w:t>
    </w:r>
    <w:r w:rsidRPr="008D3A54">
      <w:rPr>
        <w:color w:val="auto"/>
        <w:sz w:val="16"/>
        <w:szCs w:val="16"/>
      </w:rPr>
      <w:fldChar w:fldCharType="begin"/>
    </w:r>
    <w:r w:rsidRPr="008D3A54">
      <w:rPr>
        <w:color w:val="auto"/>
        <w:sz w:val="16"/>
        <w:szCs w:val="16"/>
      </w:rPr>
      <w:instrText xml:space="preserve"> PAGE  \* Arabic  \* MERGEFORMAT </w:instrText>
    </w:r>
    <w:r w:rsidRPr="008D3A54">
      <w:rPr>
        <w:color w:val="auto"/>
        <w:sz w:val="16"/>
        <w:szCs w:val="16"/>
      </w:rPr>
      <w:fldChar w:fldCharType="separate"/>
    </w:r>
    <w:r>
      <w:rPr>
        <w:noProof/>
        <w:color w:val="auto"/>
        <w:sz w:val="16"/>
        <w:szCs w:val="16"/>
      </w:rPr>
      <w:t>3</w:t>
    </w:r>
    <w:r w:rsidRPr="008D3A54">
      <w:rPr>
        <w:color w:val="auto"/>
        <w:sz w:val="16"/>
        <w:szCs w:val="16"/>
      </w:rPr>
      <w:fldChar w:fldCharType="end"/>
    </w:r>
    <w:r w:rsidRPr="008D3A54">
      <w:rPr>
        <w:color w:val="auto"/>
        <w:sz w:val="16"/>
        <w:szCs w:val="16"/>
      </w:rPr>
      <w:t xml:space="preserve"> of </w:t>
    </w:r>
    <w:r w:rsidRPr="008D3A54">
      <w:rPr>
        <w:color w:val="auto"/>
        <w:sz w:val="16"/>
        <w:szCs w:val="16"/>
      </w:rPr>
      <w:fldChar w:fldCharType="begin"/>
    </w:r>
    <w:r w:rsidRPr="008D3A54">
      <w:rPr>
        <w:color w:val="auto"/>
        <w:sz w:val="16"/>
        <w:szCs w:val="16"/>
      </w:rPr>
      <w:instrText xml:space="preserve"> NUMPAGES  \* Arabic  \* MERGEFORMAT </w:instrText>
    </w:r>
    <w:r w:rsidRPr="008D3A54">
      <w:rPr>
        <w:color w:val="auto"/>
        <w:sz w:val="16"/>
        <w:szCs w:val="16"/>
      </w:rPr>
      <w:fldChar w:fldCharType="separate"/>
    </w:r>
    <w:r>
      <w:rPr>
        <w:noProof/>
        <w:color w:val="auto"/>
        <w:sz w:val="16"/>
        <w:szCs w:val="16"/>
      </w:rPr>
      <w:t>3</w:t>
    </w:r>
    <w:r w:rsidRPr="008D3A54">
      <w:rPr>
        <w:color w:val="auto"/>
        <w:sz w:val="16"/>
        <w:szCs w:val="16"/>
      </w:rPr>
      <w:fldChar w:fldCharType="end"/>
    </w:r>
  </w:p>
  <w:p w:rsidR="008D3A54" w:rsidRDefault="008D3A54">
    <w:pPr>
      <w:pStyle w:val="Footer"/>
      <w:jc w:val="center"/>
      <w:rPr>
        <w:color w:val="auto"/>
        <w:sz w:val="16"/>
        <w:szCs w:val="16"/>
      </w:rPr>
    </w:pPr>
    <w:r>
      <w:rPr>
        <w:color w:val="auto"/>
        <w:sz w:val="16"/>
        <w:szCs w:val="16"/>
      </w:rPr>
      <w:t>Core Clinical Service Guide</w:t>
    </w:r>
  </w:p>
  <w:p w:rsidR="008D3A54" w:rsidRDefault="008D3A54">
    <w:pPr>
      <w:pStyle w:val="Footer"/>
      <w:jc w:val="center"/>
      <w:rPr>
        <w:color w:val="auto"/>
        <w:sz w:val="16"/>
        <w:szCs w:val="16"/>
      </w:rPr>
    </w:pPr>
    <w:r>
      <w:rPr>
        <w:color w:val="auto"/>
        <w:sz w:val="16"/>
        <w:szCs w:val="16"/>
      </w:rPr>
      <w:t xml:space="preserve">Section:  Immunizations – (G) – </w:t>
    </w:r>
    <w:proofErr w:type="spellStart"/>
    <w:r>
      <w:rPr>
        <w:color w:val="auto"/>
        <w:sz w:val="16"/>
        <w:szCs w:val="16"/>
      </w:rPr>
      <w:t>DTaP</w:t>
    </w:r>
    <w:proofErr w:type="spellEnd"/>
    <w:r>
      <w:rPr>
        <w:color w:val="auto"/>
        <w:sz w:val="16"/>
        <w:szCs w:val="16"/>
      </w:rPr>
      <w:t>-</w:t>
    </w:r>
    <w:proofErr w:type="spellStart"/>
    <w:r>
      <w:rPr>
        <w:color w:val="auto"/>
        <w:sz w:val="16"/>
        <w:szCs w:val="16"/>
      </w:rPr>
      <w:t>HepB</w:t>
    </w:r>
    <w:proofErr w:type="spellEnd"/>
    <w:r>
      <w:rPr>
        <w:color w:val="auto"/>
        <w:sz w:val="16"/>
        <w:szCs w:val="16"/>
      </w:rPr>
      <w:t>-IPV (PEDIARIX)</w:t>
    </w:r>
  </w:p>
  <w:p w:rsidR="008D3A54" w:rsidRPr="008D3A54" w:rsidRDefault="008D3A54">
    <w:pPr>
      <w:pStyle w:val="Footer"/>
      <w:jc w:val="center"/>
      <w:rPr>
        <w:color w:val="auto"/>
        <w:sz w:val="16"/>
        <w:szCs w:val="16"/>
      </w:rPr>
    </w:pPr>
    <w:r>
      <w:rPr>
        <w:color w:val="auto"/>
        <w:sz w:val="16"/>
        <w:szCs w:val="16"/>
      </w:rPr>
      <w:t>July 1, 2018</w:t>
    </w:r>
  </w:p>
  <w:p w:rsidR="00FE2BD9" w:rsidRPr="00FE2BD9" w:rsidRDefault="00F61F70" w:rsidP="00FE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70" w:rsidRDefault="00F61F70" w:rsidP="008D3A54">
      <w:r>
        <w:separator/>
      </w:r>
    </w:p>
  </w:footnote>
  <w:footnote w:type="continuationSeparator" w:id="0">
    <w:p w:rsidR="00F61F70" w:rsidRDefault="00F61F70" w:rsidP="008D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DE3"/>
    <w:multiLevelType w:val="hybridMultilevel"/>
    <w:tmpl w:val="A4861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57018"/>
    <w:multiLevelType w:val="hybridMultilevel"/>
    <w:tmpl w:val="04D608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96FF8"/>
    <w:multiLevelType w:val="hybridMultilevel"/>
    <w:tmpl w:val="6F0EC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8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72"/>
    <w:rsid w:val="00514072"/>
    <w:rsid w:val="008D3A54"/>
    <w:rsid w:val="00F25F63"/>
    <w:rsid w:val="00F6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DAF7"/>
  <w15:chartTrackingRefBased/>
  <w15:docId w15:val="{6A0CD390-2876-4FCA-B275-5CCF292D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54"/>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3A54"/>
    <w:pPr>
      <w:tabs>
        <w:tab w:val="center" w:pos="4320"/>
        <w:tab w:val="right" w:pos="8640"/>
      </w:tabs>
    </w:pPr>
  </w:style>
  <w:style w:type="character" w:customStyle="1" w:styleId="FooterChar">
    <w:name w:val="Footer Char"/>
    <w:basedOn w:val="DefaultParagraphFont"/>
    <w:link w:val="Footer"/>
    <w:uiPriority w:val="99"/>
    <w:rsid w:val="008D3A54"/>
    <w:rPr>
      <w:rFonts w:ascii="Times New Roman" w:eastAsia="Times New Roman" w:hAnsi="Times New Roman" w:cs="Times New Roman"/>
      <w:color w:val="000000"/>
      <w:sz w:val="24"/>
      <w:szCs w:val="20"/>
    </w:rPr>
  </w:style>
  <w:style w:type="character" w:styleId="Hyperlink">
    <w:name w:val="Hyperlink"/>
    <w:uiPriority w:val="99"/>
    <w:rsid w:val="008D3A54"/>
    <w:rPr>
      <w:rFonts w:cs="Times New Roman"/>
      <w:color w:val="0000FF"/>
      <w:u w:val="single"/>
    </w:rPr>
  </w:style>
  <w:style w:type="paragraph" w:styleId="ListParagraph">
    <w:name w:val="List Paragraph"/>
    <w:basedOn w:val="Normal"/>
    <w:uiPriority w:val="34"/>
    <w:qFormat/>
    <w:rsid w:val="008D3A54"/>
    <w:pPr>
      <w:ind w:left="720"/>
      <w:contextualSpacing/>
    </w:pPr>
  </w:style>
  <w:style w:type="paragraph" w:styleId="Header">
    <w:name w:val="header"/>
    <w:basedOn w:val="Normal"/>
    <w:link w:val="HeaderChar"/>
    <w:uiPriority w:val="99"/>
    <w:unhideWhenUsed/>
    <w:rsid w:val="008D3A54"/>
    <w:pPr>
      <w:tabs>
        <w:tab w:val="center" w:pos="4680"/>
        <w:tab w:val="right" w:pos="9360"/>
      </w:tabs>
    </w:pPr>
  </w:style>
  <w:style w:type="character" w:customStyle="1" w:styleId="HeaderChar">
    <w:name w:val="Header Char"/>
    <w:basedOn w:val="DefaultParagraphFont"/>
    <w:link w:val="Header"/>
    <w:uiPriority w:val="99"/>
    <w:rsid w:val="008D3A54"/>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schedules/downloads/child/0-18yrs-child-combined-schedule.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696DE906-231B-478E-A4AD-7C28B2384D48}"/>
</file>

<file path=customXml/itemProps2.xml><?xml version="1.0" encoding="utf-8"?>
<ds:datastoreItem xmlns:ds="http://schemas.openxmlformats.org/officeDocument/2006/customXml" ds:itemID="{B65156A5-E0DB-4340-A989-0E60B98D6164}"/>
</file>

<file path=customXml/itemProps3.xml><?xml version="1.0" encoding="utf-8"?>
<ds:datastoreItem xmlns:ds="http://schemas.openxmlformats.org/officeDocument/2006/customXml" ds:itemID="{3C8B8C35-59BF-46FB-8355-E7EB57FE140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4491</Characters>
  <Application>Microsoft Office Word</Application>
  <DocSecurity>0</DocSecurity>
  <Lines>37</Lines>
  <Paragraphs>10</Paragraphs>
  <ScaleCrop>false</ScaleCrop>
  <Company>Commonwealth of Kentucky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(G) - DTaP-HepB-IPV (PEDIARIX)</dc:title>
  <dc:subject/>
  <dc:creator>Cunningham, Troi (CHFS PH EPI)</dc:creator>
  <cp:keywords/>
  <dc:description/>
  <cp:lastModifiedBy>Cunningham, Troi (CHFS PH EPI)</cp:lastModifiedBy>
  <cp:revision>2</cp:revision>
  <dcterms:created xsi:type="dcterms:W3CDTF">2018-06-29T16:33:00Z</dcterms:created>
  <dcterms:modified xsi:type="dcterms:W3CDTF">2018-06-29T16:36:00Z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