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6D" w:rsidRDefault="005E036D" w:rsidP="005E036D">
      <w:pPr>
        <w:jc w:val="center"/>
        <w:rPr>
          <w:b/>
          <w:bCs/>
          <w:sz w:val="28"/>
          <w:szCs w:val="28"/>
        </w:rPr>
      </w:pPr>
      <w:r w:rsidRPr="002D3E3D">
        <w:rPr>
          <w:b/>
          <w:bCs/>
          <w:sz w:val="28"/>
          <w:szCs w:val="28"/>
        </w:rPr>
        <w:t xml:space="preserve">Diphtheria and Tetanus Toxoids and Acellular Pertussis Adsorbed, Inactivated Poliovirus and </w:t>
      </w:r>
      <w:proofErr w:type="spellStart"/>
      <w:r w:rsidRPr="002D3E3D">
        <w:rPr>
          <w:b/>
          <w:bCs/>
          <w:i/>
          <w:sz w:val="28"/>
          <w:szCs w:val="28"/>
        </w:rPr>
        <w:t>Haemophilus</w:t>
      </w:r>
      <w:proofErr w:type="spellEnd"/>
      <w:r w:rsidRPr="002D3E3D">
        <w:rPr>
          <w:b/>
          <w:bCs/>
          <w:sz w:val="28"/>
          <w:szCs w:val="28"/>
        </w:rPr>
        <w:t xml:space="preserve"> b Conjugate </w:t>
      </w:r>
      <w:r>
        <w:rPr>
          <w:b/>
          <w:bCs/>
          <w:sz w:val="28"/>
          <w:szCs w:val="28"/>
        </w:rPr>
        <w:br/>
      </w:r>
      <w:r w:rsidRPr="002D3E3D">
        <w:rPr>
          <w:b/>
          <w:bCs/>
          <w:sz w:val="28"/>
          <w:szCs w:val="28"/>
        </w:rPr>
        <w:t xml:space="preserve">(Tetanus Toxoid Conjugate) Vaccine </w:t>
      </w:r>
    </w:p>
    <w:p w:rsidR="005E036D" w:rsidRPr="002D3E3D" w:rsidRDefault="005E036D" w:rsidP="005E036D">
      <w:pPr>
        <w:jc w:val="center"/>
        <w:rPr>
          <w:b/>
          <w:bCs/>
          <w:sz w:val="28"/>
          <w:szCs w:val="28"/>
        </w:rPr>
      </w:pPr>
      <w:r w:rsidRPr="002D3E3D">
        <w:rPr>
          <w:b/>
          <w:sz w:val="28"/>
          <w:szCs w:val="28"/>
        </w:rPr>
        <w:br/>
      </w:r>
      <w:bookmarkStart w:id="0" w:name="OLE_LINK1"/>
      <w:bookmarkStart w:id="1" w:name="OLE_LINK2"/>
      <w:proofErr w:type="spellStart"/>
      <w:r w:rsidRPr="002D3E3D">
        <w:rPr>
          <w:b/>
          <w:bCs/>
          <w:sz w:val="28"/>
          <w:szCs w:val="28"/>
        </w:rPr>
        <w:t>DTaP</w:t>
      </w:r>
      <w:proofErr w:type="spellEnd"/>
      <w:r w:rsidRPr="002D3E3D">
        <w:rPr>
          <w:b/>
          <w:bCs/>
          <w:sz w:val="28"/>
          <w:szCs w:val="28"/>
        </w:rPr>
        <w:t xml:space="preserve">-IPV/Hib Combination Vaccine </w:t>
      </w:r>
      <w:bookmarkEnd w:id="0"/>
      <w:bookmarkEnd w:id="1"/>
      <w:r w:rsidRPr="002D3E3D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PENTACEL</w:t>
      </w:r>
      <w:r w:rsidRPr="005E036D">
        <w:rPr>
          <w:b/>
          <w:bCs/>
          <w:sz w:val="28"/>
          <w:szCs w:val="28"/>
          <w:vertAlign w:val="superscript"/>
        </w:rPr>
        <w:t>®</w:t>
      </w:r>
      <w:r w:rsidRPr="002D3E3D">
        <w:rPr>
          <w:b/>
          <w:bCs/>
          <w:sz w:val="28"/>
          <w:szCs w:val="28"/>
        </w:rPr>
        <w:t>)</w:t>
      </w:r>
    </w:p>
    <w:p w:rsidR="005E036D" w:rsidRPr="002D3E3D" w:rsidRDefault="005E036D" w:rsidP="005E036D">
      <w:pPr>
        <w:rPr>
          <w:sz w:val="28"/>
          <w:szCs w:val="28"/>
        </w:rPr>
      </w:pPr>
    </w:p>
    <w:p w:rsidR="005E036D" w:rsidRDefault="005E036D" w:rsidP="005E036D">
      <w:pPr>
        <w:autoSpaceDE w:val="0"/>
        <w:autoSpaceDN w:val="0"/>
        <w:adjustRightInd w:val="0"/>
        <w:spacing w:after="120"/>
        <w:rPr>
          <w:b/>
          <w:u w:val="single"/>
        </w:rPr>
      </w:pPr>
      <w:r>
        <w:rPr>
          <w:b/>
          <w:u w:val="single"/>
        </w:rPr>
        <w:t>Precautions and Contraindications</w:t>
      </w:r>
    </w:p>
    <w:p w:rsidR="005E036D" w:rsidRPr="00906858" w:rsidRDefault="005E036D" w:rsidP="005E036D">
      <w:pPr>
        <w:autoSpaceDE w:val="0"/>
        <w:autoSpaceDN w:val="0"/>
        <w:adjustRightInd w:val="0"/>
        <w:spacing w:after="120"/>
      </w:pPr>
      <w:r w:rsidRPr="00906858">
        <w:t>Screen all patients for precautions and contraindications to immunization.</w:t>
      </w:r>
    </w:p>
    <w:p w:rsidR="005E036D" w:rsidRPr="002D3E3D" w:rsidRDefault="005E036D" w:rsidP="005E036D">
      <w:pPr>
        <w:widowControl w:val="0"/>
        <w:rPr>
          <w:b/>
          <w:bCs/>
        </w:rPr>
      </w:pPr>
    </w:p>
    <w:p w:rsidR="005E036D" w:rsidRPr="002D3E3D" w:rsidRDefault="005E036D" w:rsidP="005E036D">
      <w:pPr>
        <w:rPr>
          <w:b/>
          <w:szCs w:val="24"/>
        </w:rPr>
      </w:pPr>
      <w:r w:rsidRPr="002D3E3D">
        <w:rPr>
          <w:b/>
          <w:szCs w:val="24"/>
          <w:u w:val="single"/>
        </w:rPr>
        <w:t>Indications and Usage</w:t>
      </w:r>
      <w:r w:rsidRPr="002D3E3D">
        <w:rPr>
          <w:b/>
          <w:szCs w:val="24"/>
        </w:rPr>
        <w:t>:</w:t>
      </w:r>
    </w:p>
    <w:p w:rsidR="005E036D" w:rsidRPr="002D3E3D" w:rsidRDefault="005E036D" w:rsidP="005E036D">
      <w:pPr>
        <w:rPr>
          <w:szCs w:val="24"/>
        </w:rPr>
      </w:pPr>
      <w:r>
        <w:rPr>
          <w:b/>
          <w:szCs w:val="24"/>
        </w:rPr>
        <w:t>PENTACEL</w:t>
      </w:r>
      <w:r w:rsidRPr="005E036D">
        <w:rPr>
          <w:b/>
          <w:bCs/>
          <w:sz w:val="28"/>
          <w:szCs w:val="28"/>
          <w:vertAlign w:val="superscript"/>
        </w:rPr>
        <w:t>®</w:t>
      </w:r>
      <w:r w:rsidRPr="002D3E3D">
        <w:rPr>
          <w:szCs w:val="24"/>
        </w:rPr>
        <w:t xml:space="preserve"> vaccine </w:t>
      </w:r>
      <w:proofErr w:type="gramStart"/>
      <w:r w:rsidRPr="002D3E3D">
        <w:rPr>
          <w:szCs w:val="24"/>
        </w:rPr>
        <w:t>is indicated</w:t>
      </w:r>
      <w:proofErr w:type="gramEnd"/>
      <w:r w:rsidRPr="002D3E3D">
        <w:rPr>
          <w:szCs w:val="24"/>
        </w:rPr>
        <w:t xml:space="preserve"> for active immunization against diphtheria, tetanus, pertussis, poliomyelitis and invasive disease due to </w:t>
      </w:r>
      <w:proofErr w:type="spellStart"/>
      <w:r w:rsidRPr="002D3E3D">
        <w:rPr>
          <w:i/>
          <w:szCs w:val="24"/>
        </w:rPr>
        <w:t>Haemophilus</w:t>
      </w:r>
      <w:proofErr w:type="spellEnd"/>
      <w:r w:rsidRPr="002D3E3D">
        <w:rPr>
          <w:i/>
          <w:szCs w:val="24"/>
        </w:rPr>
        <w:t xml:space="preserve"> </w:t>
      </w:r>
      <w:proofErr w:type="spellStart"/>
      <w:r w:rsidRPr="002D3E3D">
        <w:rPr>
          <w:i/>
          <w:szCs w:val="24"/>
        </w:rPr>
        <w:t>influenzae</w:t>
      </w:r>
      <w:proofErr w:type="spellEnd"/>
      <w:r w:rsidRPr="002D3E3D">
        <w:rPr>
          <w:szCs w:val="24"/>
        </w:rPr>
        <w:t xml:space="preserve"> type b.  </w:t>
      </w:r>
      <w:r>
        <w:rPr>
          <w:b/>
          <w:szCs w:val="24"/>
        </w:rPr>
        <w:t>PENTACEL</w:t>
      </w:r>
      <w:r w:rsidRPr="005E036D">
        <w:rPr>
          <w:b/>
          <w:bCs/>
          <w:sz w:val="28"/>
          <w:szCs w:val="28"/>
          <w:vertAlign w:val="superscript"/>
        </w:rPr>
        <w:t>®</w:t>
      </w:r>
      <w:r w:rsidRPr="002D3E3D">
        <w:rPr>
          <w:szCs w:val="24"/>
        </w:rPr>
        <w:t xml:space="preserve"> vaccine </w:t>
      </w:r>
      <w:proofErr w:type="gramStart"/>
      <w:r w:rsidRPr="002D3E3D">
        <w:rPr>
          <w:szCs w:val="24"/>
        </w:rPr>
        <w:t>is approved</w:t>
      </w:r>
      <w:proofErr w:type="gramEnd"/>
      <w:r w:rsidRPr="002D3E3D">
        <w:rPr>
          <w:szCs w:val="24"/>
        </w:rPr>
        <w:t xml:space="preserve"> for use in children 6 weeks through 4 years of age (prior to fifth birthday). </w:t>
      </w:r>
    </w:p>
    <w:p w:rsidR="005E036D" w:rsidRPr="002D3E3D" w:rsidRDefault="005E036D" w:rsidP="005E036D">
      <w:pPr>
        <w:rPr>
          <w:szCs w:val="24"/>
        </w:rPr>
      </w:pPr>
    </w:p>
    <w:p w:rsidR="005E036D" w:rsidRPr="002D3E3D" w:rsidRDefault="005E036D" w:rsidP="005E036D">
      <w:pPr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Recommended Schedule</w:t>
      </w:r>
    </w:p>
    <w:p w:rsidR="005E036D" w:rsidRPr="002D3E3D" w:rsidRDefault="005E036D" w:rsidP="005E036D">
      <w:pPr>
        <w:rPr>
          <w:b/>
          <w:szCs w:val="24"/>
          <w:u w:val="single"/>
        </w:rPr>
      </w:pP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890"/>
        <w:gridCol w:w="5216"/>
      </w:tblGrid>
      <w:tr w:rsidR="005E036D" w:rsidRPr="002D3E3D" w:rsidTr="00761C75">
        <w:trPr>
          <w:trHeight w:val="530"/>
          <w:jc w:val="center"/>
        </w:trPr>
        <w:tc>
          <w:tcPr>
            <w:tcW w:w="8633" w:type="dxa"/>
            <w:gridSpan w:val="3"/>
            <w:shd w:val="clear" w:color="auto" w:fill="FFFF99"/>
            <w:vAlign w:val="center"/>
          </w:tcPr>
          <w:p w:rsidR="005E036D" w:rsidRPr="002D3E3D" w:rsidRDefault="005E036D" w:rsidP="00761C75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2D3E3D">
              <w:rPr>
                <w:b/>
                <w:sz w:val="28"/>
                <w:szCs w:val="28"/>
              </w:rPr>
              <w:t xml:space="preserve">Administration of </w:t>
            </w:r>
            <w:r>
              <w:rPr>
                <w:b/>
                <w:sz w:val="28"/>
                <w:szCs w:val="28"/>
              </w:rPr>
              <w:t>PENTACEL</w:t>
            </w:r>
            <w:r w:rsidRPr="005E036D">
              <w:rPr>
                <w:b/>
                <w:bCs/>
                <w:sz w:val="28"/>
                <w:szCs w:val="28"/>
                <w:vertAlign w:val="superscript"/>
              </w:rPr>
              <w:t>®</w:t>
            </w:r>
            <w:r w:rsidRPr="002D3E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D3E3D">
              <w:rPr>
                <w:b/>
                <w:sz w:val="28"/>
                <w:szCs w:val="28"/>
              </w:rPr>
              <w:t>DTaP</w:t>
            </w:r>
            <w:proofErr w:type="spellEnd"/>
            <w:r w:rsidRPr="002D3E3D">
              <w:rPr>
                <w:b/>
                <w:sz w:val="28"/>
                <w:szCs w:val="28"/>
              </w:rPr>
              <w:t>-IPV/Hib</w:t>
            </w:r>
          </w:p>
        </w:tc>
      </w:tr>
      <w:tr w:rsidR="005E036D" w:rsidRPr="002D3E3D" w:rsidTr="00761C75">
        <w:trPr>
          <w:trHeight w:val="530"/>
          <w:jc w:val="center"/>
        </w:trPr>
        <w:tc>
          <w:tcPr>
            <w:tcW w:w="1527" w:type="dxa"/>
            <w:shd w:val="clear" w:color="auto" w:fill="FFFF99"/>
            <w:vAlign w:val="center"/>
          </w:tcPr>
          <w:p w:rsidR="005E036D" w:rsidRPr="002D3E3D" w:rsidRDefault="005E036D" w:rsidP="00761C75">
            <w:pPr>
              <w:spacing w:before="120" w:after="120"/>
              <w:jc w:val="center"/>
              <w:rPr>
                <w:b/>
                <w:szCs w:val="24"/>
              </w:rPr>
            </w:pPr>
            <w:r w:rsidRPr="002D3E3D">
              <w:rPr>
                <w:b/>
                <w:szCs w:val="24"/>
              </w:rPr>
              <w:t>Dose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5E036D" w:rsidRPr="002D3E3D" w:rsidRDefault="005E036D" w:rsidP="00761C75">
            <w:pPr>
              <w:spacing w:before="120" w:after="120"/>
              <w:jc w:val="center"/>
              <w:rPr>
                <w:b/>
                <w:szCs w:val="24"/>
              </w:rPr>
            </w:pPr>
            <w:r w:rsidRPr="002D3E3D">
              <w:rPr>
                <w:b/>
                <w:szCs w:val="24"/>
              </w:rPr>
              <w:t>Minimum Age</w:t>
            </w:r>
          </w:p>
        </w:tc>
        <w:tc>
          <w:tcPr>
            <w:tcW w:w="5216" w:type="dxa"/>
            <w:shd w:val="clear" w:color="auto" w:fill="FFFF99"/>
            <w:vAlign w:val="center"/>
          </w:tcPr>
          <w:p w:rsidR="005E036D" w:rsidRPr="002D3E3D" w:rsidRDefault="005E036D" w:rsidP="00761C75">
            <w:pPr>
              <w:spacing w:before="120" w:after="120"/>
              <w:jc w:val="center"/>
              <w:rPr>
                <w:b/>
                <w:szCs w:val="24"/>
                <w:u w:val="single"/>
              </w:rPr>
            </w:pPr>
            <w:r w:rsidRPr="002D3E3D">
              <w:rPr>
                <w:b/>
                <w:szCs w:val="24"/>
                <w:u w:val="single"/>
              </w:rPr>
              <w:t>Minimum Interval to the Next Dose</w:t>
            </w:r>
          </w:p>
        </w:tc>
      </w:tr>
      <w:tr w:rsidR="005E036D" w:rsidRPr="002D3E3D" w:rsidTr="00761C75">
        <w:trPr>
          <w:jc w:val="center"/>
        </w:trPr>
        <w:tc>
          <w:tcPr>
            <w:tcW w:w="1527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/>
            </w:pPr>
            <w:r w:rsidRPr="0074546F">
              <w:rPr>
                <w:b/>
              </w:rPr>
              <w:t>One (1)</w:t>
            </w:r>
            <w:r w:rsidRPr="0074546F">
              <w:t>, or any dose</w:t>
            </w:r>
          </w:p>
        </w:tc>
        <w:tc>
          <w:tcPr>
            <w:tcW w:w="1890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 w:right="576"/>
              <w:jc w:val="right"/>
            </w:pPr>
            <w:r w:rsidRPr="0074546F">
              <w:t>6 weeks*</w:t>
            </w:r>
          </w:p>
        </w:tc>
        <w:tc>
          <w:tcPr>
            <w:tcW w:w="5216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/>
              <w:rPr>
                <w:b/>
              </w:rPr>
            </w:pPr>
            <w:r w:rsidRPr="0074546F">
              <w:rPr>
                <w:b/>
              </w:rPr>
              <w:t>4 weeks</w:t>
            </w:r>
            <w:r w:rsidRPr="0074546F">
              <w:t xml:space="preserve"> (dose 1 to dose 2)</w:t>
            </w:r>
          </w:p>
        </w:tc>
      </w:tr>
      <w:tr w:rsidR="005E036D" w:rsidRPr="002D3E3D" w:rsidTr="00761C75">
        <w:trPr>
          <w:jc w:val="center"/>
        </w:trPr>
        <w:tc>
          <w:tcPr>
            <w:tcW w:w="1527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/>
              <w:rPr>
                <w:b/>
              </w:rPr>
            </w:pPr>
            <w:r w:rsidRPr="0074546F">
              <w:rPr>
                <w:b/>
              </w:rPr>
              <w:t>Two (2)</w:t>
            </w:r>
          </w:p>
        </w:tc>
        <w:tc>
          <w:tcPr>
            <w:tcW w:w="1890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 w:right="576"/>
              <w:jc w:val="right"/>
            </w:pPr>
            <w:r w:rsidRPr="0074546F">
              <w:t>10 weeks</w:t>
            </w:r>
          </w:p>
        </w:tc>
        <w:tc>
          <w:tcPr>
            <w:tcW w:w="5216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/>
            </w:pPr>
            <w:r w:rsidRPr="0074546F">
              <w:rPr>
                <w:b/>
              </w:rPr>
              <w:t>4 weeks</w:t>
            </w:r>
            <w:r w:rsidRPr="0074546F">
              <w:t xml:space="preserve"> (dose 2 to dose 3)</w:t>
            </w:r>
          </w:p>
        </w:tc>
      </w:tr>
      <w:tr w:rsidR="005E036D" w:rsidRPr="002D3E3D" w:rsidTr="00761C75">
        <w:trPr>
          <w:jc w:val="center"/>
        </w:trPr>
        <w:tc>
          <w:tcPr>
            <w:tcW w:w="1527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/>
              <w:rPr>
                <w:b/>
              </w:rPr>
            </w:pPr>
            <w:r w:rsidRPr="0074546F">
              <w:rPr>
                <w:b/>
              </w:rPr>
              <w:t>Three (3)</w:t>
            </w:r>
          </w:p>
        </w:tc>
        <w:tc>
          <w:tcPr>
            <w:tcW w:w="1890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 w:right="576"/>
              <w:jc w:val="right"/>
            </w:pPr>
            <w:r w:rsidRPr="0074546F">
              <w:t>14 weeks</w:t>
            </w:r>
          </w:p>
        </w:tc>
        <w:tc>
          <w:tcPr>
            <w:tcW w:w="5216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/>
              <w:rPr>
                <w:b/>
              </w:rPr>
            </w:pPr>
            <w:r w:rsidRPr="0074546F">
              <w:rPr>
                <w:b/>
              </w:rPr>
              <w:t>6 months</w:t>
            </w:r>
            <w:r w:rsidRPr="0074546F">
              <w:t xml:space="preserve"> (dose 3 to dose 4, determined by </w:t>
            </w:r>
            <w:proofErr w:type="spellStart"/>
            <w:r w:rsidRPr="0074546F">
              <w:t>DTaP</w:t>
            </w:r>
            <w:proofErr w:type="spellEnd"/>
            <w:r w:rsidRPr="0074546F">
              <w:t xml:space="preserve"> and IPV component); </w:t>
            </w:r>
          </w:p>
        </w:tc>
      </w:tr>
      <w:tr w:rsidR="005E036D" w:rsidRPr="002D3E3D" w:rsidTr="00761C75">
        <w:trPr>
          <w:trHeight w:val="1655"/>
          <w:jc w:val="center"/>
        </w:trPr>
        <w:tc>
          <w:tcPr>
            <w:tcW w:w="1527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/>
              <w:rPr>
                <w:b/>
              </w:rPr>
            </w:pPr>
            <w:r w:rsidRPr="0074546F">
              <w:rPr>
                <w:b/>
              </w:rPr>
              <w:t>Four (4)</w:t>
            </w:r>
          </w:p>
        </w:tc>
        <w:tc>
          <w:tcPr>
            <w:tcW w:w="1890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/>
            </w:pPr>
            <w:r w:rsidRPr="0074546F">
              <w:rPr>
                <w:b/>
              </w:rPr>
              <w:t>12 months</w:t>
            </w:r>
          </w:p>
        </w:tc>
        <w:tc>
          <w:tcPr>
            <w:tcW w:w="5216" w:type="dxa"/>
            <w:vAlign w:val="center"/>
          </w:tcPr>
          <w:p w:rsidR="005E036D" w:rsidRPr="0074546F" w:rsidRDefault="005E036D" w:rsidP="00761C75">
            <w:pPr>
              <w:spacing w:before="60" w:after="60"/>
              <w:ind w:left="144"/>
              <w:rPr>
                <w:b/>
              </w:rPr>
            </w:pPr>
            <w:r w:rsidRPr="0074546F">
              <w:t>Note that both the minimum interval</w:t>
            </w:r>
            <w:r w:rsidRPr="0074546F">
              <w:rPr>
                <w:b/>
              </w:rPr>
              <w:t xml:space="preserve"> AND</w:t>
            </w:r>
            <w:r w:rsidRPr="0074546F">
              <w:t xml:space="preserve"> age must be met for the fourth dose of </w:t>
            </w:r>
            <w:proofErr w:type="spellStart"/>
            <w:r w:rsidRPr="0074546F">
              <w:t>DTaP</w:t>
            </w:r>
            <w:proofErr w:type="spellEnd"/>
            <w:r w:rsidRPr="0074546F">
              <w:t xml:space="preserve">, Hib (for </w:t>
            </w:r>
            <w:r w:rsidRPr="005E036D">
              <w:rPr>
                <w:b/>
              </w:rPr>
              <w:t>PENTACEL</w:t>
            </w:r>
            <w:r w:rsidRPr="005E036D">
              <w:rPr>
                <w:b/>
                <w:bCs/>
                <w:sz w:val="28"/>
                <w:szCs w:val="28"/>
                <w:vertAlign w:val="superscript"/>
              </w:rPr>
              <w:t>®</w:t>
            </w:r>
            <w:r w:rsidRPr="0074546F">
              <w:t xml:space="preserve"> or any other formulation) to be counted as valid</w:t>
            </w:r>
            <w:r w:rsidRPr="0074546F">
              <w:rPr>
                <w:rFonts w:ascii="Times New Roman Bold"/>
                <w:b/>
              </w:rPr>
              <w:t>;</w:t>
            </w:r>
          </w:p>
          <w:p w:rsidR="005E036D" w:rsidRPr="0074546F" w:rsidRDefault="005E036D" w:rsidP="00761C75">
            <w:pPr>
              <w:spacing w:before="60" w:after="60"/>
              <w:ind w:left="144"/>
            </w:pPr>
            <w:r w:rsidRPr="0074546F">
              <w:rPr>
                <w:b/>
              </w:rPr>
              <w:br/>
            </w:r>
            <w:proofErr w:type="spellStart"/>
            <w:r w:rsidRPr="0074546F">
              <w:rPr>
                <w:b/>
              </w:rPr>
              <w:t>DTaP</w:t>
            </w:r>
            <w:proofErr w:type="spellEnd"/>
            <w:r w:rsidRPr="0074546F">
              <w:rPr>
                <w:b/>
              </w:rPr>
              <w:t xml:space="preserve"> dose 5 </w:t>
            </w:r>
            <w:proofErr w:type="gramStart"/>
            <w:r w:rsidRPr="0074546F">
              <w:rPr>
                <w:b/>
              </w:rPr>
              <w:t>IS NOT given</w:t>
            </w:r>
            <w:proofErr w:type="gramEnd"/>
            <w:r w:rsidRPr="0074546F">
              <w:rPr>
                <w:b/>
              </w:rPr>
              <w:t xml:space="preserve"> as </w:t>
            </w:r>
            <w:r>
              <w:rPr>
                <w:b/>
              </w:rPr>
              <w:t>PENTACEL</w:t>
            </w:r>
            <w:r>
              <w:rPr>
                <w:b/>
                <w:vertAlign w:val="superscript"/>
              </w:rPr>
              <w:t>®</w:t>
            </w:r>
            <w:r w:rsidRPr="0074546F">
              <w:rPr>
                <w:b/>
              </w:rPr>
              <w:t xml:space="preserve"> vaccine</w:t>
            </w:r>
            <w:r w:rsidRPr="0074546F">
              <w:t>.</w:t>
            </w:r>
            <w:r w:rsidRPr="0074546F">
              <w:rPr>
                <w:b/>
              </w:rPr>
              <w:br/>
            </w:r>
            <w:r w:rsidRPr="0074546F">
              <w:t xml:space="preserve"> </w:t>
            </w:r>
          </w:p>
        </w:tc>
      </w:tr>
    </w:tbl>
    <w:p w:rsidR="005E036D" w:rsidRDefault="005E036D" w:rsidP="005E036D">
      <w:pPr>
        <w:ind w:left="720"/>
        <w:rPr>
          <w:u w:val="single"/>
        </w:rPr>
      </w:pPr>
      <w:r w:rsidRPr="002D3E3D">
        <w:rPr>
          <w:b/>
          <w:szCs w:val="24"/>
          <w:u w:val="single"/>
        </w:rPr>
        <w:t>*</w:t>
      </w:r>
      <w:r w:rsidRPr="0074546F">
        <w:rPr>
          <w:u w:val="single"/>
        </w:rPr>
        <w:t>Use of the minimum age and minimum intervals for vaccine administration in the first 6</w:t>
      </w:r>
      <w:r>
        <w:rPr>
          <w:u w:val="single"/>
        </w:rPr>
        <w:t> </w:t>
      </w:r>
      <w:r w:rsidRPr="0074546F">
        <w:rPr>
          <w:u w:val="single"/>
        </w:rPr>
        <w:t xml:space="preserve">months of life </w:t>
      </w:r>
      <w:proofErr w:type="gramStart"/>
      <w:r w:rsidRPr="0074546F">
        <w:rPr>
          <w:u w:val="single"/>
        </w:rPr>
        <w:t>are recommended</w:t>
      </w:r>
      <w:proofErr w:type="gramEnd"/>
      <w:r w:rsidRPr="0074546F">
        <w:rPr>
          <w:u w:val="single"/>
        </w:rPr>
        <w:t xml:space="preserve"> only if the vaccine recipient is at risk for imminent exposure to circulating poliovirus.</w:t>
      </w:r>
    </w:p>
    <w:p w:rsidR="005E036D" w:rsidRDefault="005E036D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  <w:bookmarkStart w:id="2" w:name="_GoBack"/>
      <w:bookmarkEnd w:id="2"/>
    </w:p>
    <w:p w:rsidR="005E036D" w:rsidRPr="002D3E3D" w:rsidRDefault="005E036D" w:rsidP="005E036D">
      <w:pPr>
        <w:ind w:left="720"/>
        <w:rPr>
          <w:szCs w:val="24"/>
          <w:u w:val="single"/>
        </w:rPr>
      </w:pPr>
    </w:p>
    <w:p w:rsidR="005E036D" w:rsidRPr="002D3E3D" w:rsidRDefault="005E036D" w:rsidP="005E036D">
      <w:pPr>
        <w:rPr>
          <w:szCs w:val="24"/>
          <w:u w:val="single"/>
        </w:rPr>
      </w:pPr>
    </w:p>
    <w:tbl>
      <w:tblPr>
        <w:tblW w:w="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4072"/>
      </w:tblGrid>
      <w:tr w:rsidR="005E036D" w:rsidRPr="002D3E3D" w:rsidTr="00761C75">
        <w:trPr>
          <w:trHeight w:val="332"/>
          <w:jc w:val="center"/>
        </w:trPr>
        <w:tc>
          <w:tcPr>
            <w:tcW w:w="1804" w:type="dxa"/>
            <w:shd w:val="clear" w:color="auto" w:fill="FFFF99"/>
            <w:vAlign w:val="center"/>
          </w:tcPr>
          <w:p w:rsidR="005E036D" w:rsidRPr="002D3E3D" w:rsidRDefault="005E036D" w:rsidP="00761C75">
            <w:pPr>
              <w:spacing w:before="120" w:after="120"/>
              <w:ind w:left="144"/>
              <w:jc w:val="center"/>
              <w:rPr>
                <w:b/>
                <w:szCs w:val="24"/>
              </w:rPr>
            </w:pPr>
            <w:r w:rsidRPr="002D3E3D">
              <w:rPr>
                <w:b/>
                <w:szCs w:val="24"/>
              </w:rPr>
              <w:t>Dose</w:t>
            </w:r>
          </w:p>
        </w:tc>
        <w:tc>
          <w:tcPr>
            <w:tcW w:w="4072" w:type="dxa"/>
            <w:shd w:val="clear" w:color="auto" w:fill="FFFF99"/>
            <w:vAlign w:val="center"/>
          </w:tcPr>
          <w:p w:rsidR="005E036D" w:rsidRPr="002D3E3D" w:rsidRDefault="005E036D" w:rsidP="00761C75">
            <w:pPr>
              <w:spacing w:before="120" w:after="120"/>
              <w:ind w:left="144"/>
              <w:jc w:val="center"/>
              <w:rPr>
                <w:b/>
                <w:szCs w:val="24"/>
              </w:rPr>
            </w:pPr>
            <w:r w:rsidRPr="002D3E3D">
              <w:rPr>
                <w:b/>
                <w:szCs w:val="24"/>
              </w:rPr>
              <w:t xml:space="preserve">Maximum age for </w:t>
            </w:r>
            <w:r w:rsidRPr="002D3E3D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PENTACEL</w:t>
            </w:r>
            <w:r>
              <w:rPr>
                <w:b/>
                <w:vertAlign w:val="superscript"/>
              </w:rPr>
              <w:t>®</w:t>
            </w:r>
            <w:r w:rsidRPr="002D3E3D">
              <w:rPr>
                <w:b/>
                <w:szCs w:val="24"/>
              </w:rPr>
              <w:t xml:space="preserve"> Administration</w:t>
            </w:r>
          </w:p>
        </w:tc>
      </w:tr>
      <w:tr w:rsidR="005E036D" w:rsidRPr="002D3E3D" w:rsidTr="00761C75">
        <w:trPr>
          <w:jc w:val="center"/>
        </w:trPr>
        <w:tc>
          <w:tcPr>
            <w:tcW w:w="1804" w:type="dxa"/>
            <w:vAlign w:val="center"/>
          </w:tcPr>
          <w:p w:rsidR="005E036D" w:rsidRPr="002D3E3D" w:rsidRDefault="005E036D" w:rsidP="00761C75">
            <w:pPr>
              <w:spacing w:before="120" w:after="120"/>
              <w:ind w:left="144"/>
              <w:rPr>
                <w:szCs w:val="24"/>
              </w:rPr>
            </w:pPr>
            <w:r w:rsidRPr="002D3E3D">
              <w:rPr>
                <w:szCs w:val="24"/>
              </w:rPr>
              <w:t xml:space="preserve">Any Dose </w:t>
            </w:r>
          </w:p>
        </w:tc>
        <w:tc>
          <w:tcPr>
            <w:tcW w:w="4072" w:type="dxa"/>
            <w:vAlign w:val="center"/>
          </w:tcPr>
          <w:p w:rsidR="005E036D" w:rsidRPr="002D3E3D" w:rsidRDefault="005E036D" w:rsidP="00761C75">
            <w:pPr>
              <w:spacing w:before="120" w:after="120"/>
              <w:ind w:left="144"/>
              <w:rPr>
                <w:szCs w:val="24"/>
              </w:rPr>
            </w:pPr>
            <w:r w:rsidRPr="002D3E3D">
              <w:rPr>
                <w:szCs w:val="24"/>
              </w:rPr>
              <w:t>4 years, 364 days (i.e., do not administer at age 5 years or older.)</w:t>
            </w:r>
          </w:p>
        </w:tc>
      </w:tr>
    </w:tbl>
    <w:p w:rsidR="005E036D" w:rsidRPr="002D3E3D" w:rsidRDefault="005E036D" w:rsidP="005E036D">
      <w:pPr>
        <w:rPr>
          <w:b/>
          <w:szCs w:val="24"/>
          <w:u w:val="single"/>
        </w:rPr>
      </w:pPr>
    </w:p>
    <w:p w:rsidR="005E036D" w:rsidRPr="002D3E3D" w:rsidRDefault="005E036D" w:rsidP="005E036D">
      <w:pPr>
        <w:keepNext/>
        <w:keepLines/>
        <w:rPr>
          <w:szCs w:val="24"/>
        </w:rPr>
      </w:pPr>
      <w:r w:rsidRPr="002D3E3D">
        <w:rPr>
          <w:b/>
          <w:bCs/>
          <w:szCs w:val="28"/>
        </w:rPr>
        <w:t xml:space="preserve">MMWR dated December 19, 2007 CDC recommended that </w:t>
      </w:r>
      <w:proofErr w:type="spellStart"/>
      <w:r w:rsidRPr="002D3E3D">
        <w:rPr>
          <w:b/>
          <w:bCs/>
          <w:szCs w:val="28"/>
        </w:rPr>
        <w:t>PedvaxHIB</w:t>
      </w:r>
      <w:proofErr w:type="spellEnd"/>
      <w:r w:rsidRPr="002D3E3D">
        <w:rPr>
          <w:b/>
          <w:bCs/>
          <w:szCs w:val="28"/>
        </w:rPr>
        <w:t xml:space="preserve">, a Hib capsular polysaccharide (i.e. </w:t>
      </w:r>
      <w:proofErr w:type="spellStart"/>
      <w:r w:rsidRPr="002D3E3D">
        <w:rPr>
          <w:b/>
          <w:bCs/>
          <w:szCs w:val="28"/>
        </w:rPr>
        <w:t>polyribosylribitol</w:t>
      </w:r>
      <w:proofErr w:type="spellEnd"/>
      <w:r w:rsidRPr="002D3E3D">
        <w:rPr>
          <w:b/>
          <w:bCs/>
          <w:szCs w:val="28"/>
        </w:rPr>
        <w:t xml:space="preserve"> phosphate [PRP]), be used for vaccinating American Indian/Alaska Native (AI/AN) children due to the increased risk of developing Hib disease in the fir</w:t>
      </w:r>
      <w:r>
        <w:rPr>
          <w:b/>
          <w:bCs/>
          <w:szCs w:val="28"/>
        </w:rPr>
        <w:t>st</w:t>
      </w:r>
      <w:r w:rsidRPr="002D3E3D">
        <w:rPr>
          <w:b/>
          <w:bCs/>
          <w:szCs w:val="28"/>
        </w:rPr>
        <w:t xml:space="preserve"> six months of life; therefore, </w:t>
      </w:r>
      <w:r>
        <w:rPr>
          <w:b/>
          <w:bCs/>
          <w:szCs w:val="28"/>
        </w:rPr>
        <w:t>PENTACEL</w:t>
      </w:r>
      <w:r>
        <w:rPr>
          <w:b/>
          <w:vertAlign w:val="superscript"/>
        </w:rPr>
        <w:t>®</w:t>
      </w:r>
      <w:r w:rsidRPr="002D3E3D">
        <w:rPr>
          <w:b/>
          <w:bCs/>
          <w:szCs w:val="28"/>
        </w:rPr>
        <w:t xml:space="preserve"> IS NOT RECOMMENDED FOR USE IN THE AI/AN POPULATION.</w:t>
      </w:r>
    </w:p>
    <w:p w:rsidR="005E036D" w:rsidRPr="002D3E3D" w:rsidRDefault="005E036D" w:rsidP="005E036D">
      <w:pPr>
        <w:keepNext/>
        <w:keepLines/>
        <w:rPr>
          <w:szCs w:val="24"/>
        </w:rPr>
      </w:pPr>
    </w:p>
    <w:p w:rsidR="005E036D" w:rsidRPr="002D3E3D" w:rsidRDefault="005E036D" w:rsidP="005E036D">
      <w:pPr>
        <w:spacing w:after="60"/>
        <w:rPr>
          <w:szCs w:val="24"/>
        </w:rPr>
      </w:pPr>
      <w:r>
        <w:rPr>
          <w:b/>
          <w:szCs w:val="24"/>
        </w:rPr>
        <w:t>PENTACEL</w:t>
      </w:r>
      <w:r>
        <w:rPr>
          <w:b/>
          <w:vertAlign w:val="superscript"/>
        </w:rPr>
        <w:t>®</w:t>
      </w:r>
      <w:r w:rsidRPr="002D3E3D">
        <w:rPr>
          <w:szCs w:val="24"/>
        </w:rPr>
        <w:t xml:space="preserve"> vaccine </w:t>
      </w:r>
      <w:proofErr w:type="gramStart"/>
      <w:r w:rsidRPr="002D3E3D">
        <w:rPr>
          <w:szCs w:val="24"/>
        </w:rPr>
        <w:t>is approved</w:t>
      </w:r>
      <w:proofErr w:type="gramEnd"/>
      <w:r w:rsidRPr="002D3E3D">
        <w:rPr>
          <w:szCs w:val="24"/>
        </w:rPr>
        <w:t xml:space="preserve"> for administration as 4-dose series routinely given at 2, 4</w:t>
      </w:r>
      <w:r>
        <w:rPr>
          <w:szCs w:val="24"/>
        </w:rPr>
        <w:t>,</w:t>
      </w:r>
      <w:r w:rsidRPr="002D3E3D">
        <w:rPr>
          <w:szCs w:val="24"/>
        </w:rPr>
        <w:t xml:space="preserve"> and 6</w:t>
      </w:r>
      <w:r>
        <w:rPr>
          <w:szCs w:val="24"/>
        </w:rPr>
        <w:t> </w:t>
      </w:r>
      <w:r w:rsidRPr="002D3E3D">
        <w:rPr>
          <w:szCs w:val="24"/>
        </w:rPr>
        <w:t>months, and 15</w:t>
      </w:r>
      <w:r>
        <w:rPr>
          <w:szCs w:val="24"/>
        </w:rPr>
        <w:t xml:space="preserve"> through </w:t>
      </w:r>
      <w:r w:rsidRPr="002D3E3D">
        <w:rPr>
          <w:szCs w:val="24"/>
        </w:rPr>
        <w:t xml:space="preserve">18 months of age.  The first dose may be give as early as 6 weeks of age. </w:t>
      </w:r>
    </w:p>
    <w:p w:rsidR="005E036D" w:rsidRPr="002D3E3D" w:rsidRDefault="005E036D" w:rsidP="005E036D">
      <w:pPr>
        <w:numPr>
          <w:ilvl w:val="0"/>
          <w:numId w:val="7"/>
        </w:numPr>
        <w:spacing w:before="60" w:after="60"/>
        <w:rPr>
          <w:szCs w:val="24"/>
        </w:rPr>
      </w:pPr>
      <w:r w:rsidRPr="002D3E3D">
        <w:rPr>
          <w:szCs w:val="24"/>
        </w:rPr>
        <w:t xml:space="preserve">Four doses of </w:t>
      </w:r>
      <w:r>
        <w:rPr>
          <w:b/>
          <w:szCs w:val="24"/>
        </w:rPr>
        <w:t>PENTACEL</w:t>
      </w:r>
      <w:r>
        <w:rPr>
          <w:b/>
          <w:vertAlign w:val="superscript"/>
        </w:rPr>
        <w:t>®</w:t>
      </w:r>
      <w:r w:rsidRPr="002D3E3D">
        <w:rPr>
          <w:szCs w:val="24"/>
        </w:rPr>
        <w:t xml:space="preserve"> vaccine constitute a primary immunization course against pertussis.</w:t>
      </w:r>
    </w:p>
    <w:p w:rsidR="005E036D" w:rsidRPr="002D3E3D" w:rsidRDefault="005E036D" w:rsidP="005E036D">
      <w:pPr>
        <w:numPr>
          <w:ilvl w:val="0"/>
          <w:numId w:val="7"/>
        </w:numPr>
        <w:spacing w:before="60" w:after="60"/>
        <w:rPr>
          <w:szCs w:val="24"/>
        </w:rPr>
      </w:pPr>
      <w:r w:rsidRPr="002D3E3D">
        <w:rPr>
          <w:szCs w:val="24"/>
        </w:rPr>
        <w:t xml:space="preserve">Three doses of </w:t>
      </w:r>
      <w:r>
        <w:rPr>
          <w:b/>
          <w:szCs w:val="24"/>
        </w:rPr>
        <w:t>PENTACEL</w:t>
      </w:r>
      <w:r>
        <w:rPr>
          <w:b/>
          <w:vertAlign w:val="superscript"/>
        </w:rPr>
        <w:t>®</w:t>
      </w:r>
      <w:r w:rsidRPr="002D3E3D">
        <w:rPr>
          <w:szCs w:val="24"/>
        </w:rPr>
        <w:t xml:space="preserve"> vaccine constitute a primary immunization course against diphtheria, tetanus, </w:t>
      </w:r>
      <w:r w:rsidRPr="002D3E3D">
        <w:rPr>
          <w:i/>
          <w:szCs w:val="24"/>
        </w:rPr>
        <w:t xml:space="preserve">H </w:t>
      </w:r>
      <w:proofErr w:type="spellStart"/>
      <w:r w:rsidRPr="002D3E3D">
        <w:rPr>
          <w:i/>
          <w:szCs w:val="24"/>
        </w:rPr>
        <w:t>influenzae</w:t>
      </w:r>
      <w:proofErr w:type="spellEnd"/>
      <w:r w:rsidRPr="002D3E3D">
        <w:rPr>
          <w:szCs w:val="24"/>
        </w:rPr>
        <w:t xml:space="preserve"> type b invasive disease, and poliomyelitis.</w:t>
      </w:r>
    </w:p>
    <w:p w:rsidR="005E036D" w:rsidRPr="002D3E3D" w:rsidRDefault="005E036D" w:rsidP="005E036D">
      <w:pPr>
        <w:numPr>
          <w:ilvl w:val="0"/>
          <w:numId w:val="7"/>
        </w:numPr>
        <w:spacing w:before="60" w:after="60"/>
        <w:rPr>
          <w:szCs w:val="24"/>
        </w:rPr>
      </w:pPr>
      <w:r w:rsidRPr="002D3E3D">
        <w:rPr>
          <w:szCs w:val="24"/>
        </w:rPr>
        <w:t xml:space="preserve">The fourth dose of </w:t>
      </w:r>
      <w:r>
        <w:rPr>
          <w:b/>
          <w:szCs w:val="24"/>
        </w:rPr>
        <w:t>PENTACEL</w:t>
      </w:r>
      <w:r>
        <w:rPr>
          <w:b/>
          <w:vertAlign w:val="superscript"/>
        </w:rPr>
        <w:t>®</w:t>
      </w:r>
      <w:r w:rsidRPr="002D3E3D">
        <w:rPr>
          <w:szCs w:val="24"/>
        </w:rPr>
        <w:t xml:space="preserve"> constitutes a booster vaccination against diphtheria, tetanus, </w:t>
      </w:r>
      <w:r w:rsidRPr="002D3E3D">
        <w:rPr>
          <w:i/>
          <w:szCs w:val="24"/>
        </w:rPr>
        <w:t xml:space="preserve">H </w:t>
      </w:r>
      <w:proofErr w:type="spellStart"/>
      <w:r w:rsidRPr="002D3E3D">
        <w:rPr>
          <w:i/>
          <w:szCs w:val="24"/>
        </w:rPr>
        <w:t>influenzae</w:t>
      </w:r>
      <w:proofErr w:type="spellEnd"/>
      <w:r w:rsidRPr="002D3E3D">
        <w:rPr>
          <w:szCs w:val="24"/>
        </w:rPr>
        <w:t xml:space="preserve"> type b invasive disease and poliomyelitis.</w:t>
      </w:r>
    </w:p>
    <w:p w:rsidR="005E036D" w:rsidRPr="002D3E3D" w:rsidRDefault="005E036D" w:rsidP="005E036D">
      <w:pPr>
        <w:rPr>
          <w:szCs w:val="24"/>
        </w:rPr>
      </w:pPr>
    </w:p>
    <w:p w:rsidR="005E036D" w:rsidRPr="002D3E3D" w:rsidRDefault="005E036D" w:rsidP="005E036D">
      <w:pPr>
        <w:rPr>
          <w:szCs w:val="24"/>
        </w:rPr>
      </w:pPr>
      <w:r w:rsidRPr="002D3E3D">
        <w:rPr>
          <w:szCs w:val="24"/>
        </w:rPr>
        <w:t xml:space="preserve">If a decision </w:t>
      </w:r>
      <w:proofErr w:type="gramStart"/>
      <w:r w:rsidRPr="002D3E3D">
        <w:rPr>
          <w:szCs w:val="24"/>
        </w:rPr>
        <w:t>is made</w:t>
      </w:r>
      <w:proofErr w:type="gramEnd"/>
      <w:r w:rsidRPr="002D3E3D">
        <w:rPr>
          <w:szCs w:val="24"/>
        </w:rPr>
        <w:t xml:space="preserve"> to withhold pertussis vaccine, vaccination against diphtheria, tetanus, poliomyelitis and invasive disease due to </w:t>
      </w:r>
      <w:r w:rsidRPr="002D3E3D">
        <w:rPr>
          <w:i/>
          <w:szCs w:val="24"/>
        </w:rPr>
        <w:t xml:space="preserve">H </w:t>
      </w:r>
      <w:proofErr w:type="spellStart"/>
      <w:r w:rsidRPr="002D3E3D">
        <w:rPr>
          <w:i/>
          <w:szCs w:val="24"/>
        </w:rPr>
        <w:t>influenzae</w:t>
      </w:r>
      <w:proofErr w:type="spellEnd"/>
      <w:r w:rsidRPr="002D3E3D">
        <w:rPr>
          <w:szCs w:val="24"/>
        </w:rPr>
        <w:t xml:space="preserve"> type be should be provided with brands of vaccines other than </w:t>
      </w:r>
      <w:r>
        <w:rPr>
          <w:b/>
          <w:szCs w:val="24"/>
        </w:rPr>
        <w:t>PENTACEL</w:t>
      </w:r>
      <w:r>
        <w:rPr>
          <w:b/>
          <w:vertAlign w:val="superscript"/>
        </w:rPr>
        <w:t>®</w:t>
      </w:r>
      <w:r w:rsidRPr="002D3E3D">
        <w:rPr>
          <w:szCs w:val="24"/>
        </w:rPr>
        <w:t>.</w:t>
      </w:r>
    </w:p>
    <w:p w:rsidR="005E036D" w:rsidRPr="002D3E3D" w:rsidRDefault="005E036D" w:rsidP="005E036D">
      <w:pPr>
        <w:rPr>
          <w:szCs w:val="24"/>
        </w:rPr>
      </w:pPr>
    </w:p>
    <w:p w:rsidR="005E036D" w:rsidRPr="002D3E3D" w:rsidRDefault="005E036D" w:rsidP="005E036D">
      <w:pPr>
        <w:rPr>
          <w:szCs w:val="24"/>
        </w:rPr>
      </w:pPr>
      <w:r w:rsidRPr="002D3E3D">
        <w:rPr>
          <w:szCs w:val="24"/>
        </w:rPr>
        <w:t xml:space="preserve">Children who have completed a four-dose series with </w:t>
      </w:r>
      <w:r>
        <w:rPr>
          <w:b/>
          <w:szCs w:val="24"/>
        </w:rPr>
        <w:t>PENTACEL</w:t>
      </w:r>
      <w:r>
        <w:rPr>
          <w:b/>
          <w:vertAlign w:val="superscript"/>
        </w:rPr>
        <w:t>®</w:t>
      </w:r>
      <w:r w:rsidRPr="002D3E3D" w:rsidDel="001115C4">
        <w:rPr>
          <w:b/>
          <w:szCs w:val="24"/>
        </w:rPr>
        <w:t xml:space="preserve"> </w:t>
      </w:r>
      <w:r w:rsidRPr="002D3E3D">
        <w:rPr>
          <w:szCs w:val="24"/>
        </w:rPr>
        <w:t xml:space="preserve">should receive a fifth dose of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 xml:space="preserve"> vaccine at </w:t>
      </w:r>
      <w:proofErr w:type="gramStart"/>
      <w:r w:rsidRPr="002D3E3D">
        <w:rPr>
          <w:szCs w:val="24"/>
        </w:rPr>
        <w:t>4</w:t>
      </w:r>
      <w:proofErr w:type="gramEnd"/>
      <w:r w:rsidRPr="002D3E3D">
        <w:rPr>
          <w:szCs w:val="24"/>
        </w:rPr>
        <w:t xml:space="preserve"> </w:t>
      </w:r>
      <w:r>
        <w:rPr>
          <w:szCs w:val="24"/>
        </w:rPr>
        <w:t>through</w:t>
      </w:r>
      <w:r w:rsidRPr="002D3E3D">
        <w:rPr>
          <w:szCs w:val="24"/>
        </w:rPr>
        <w:t xml:space="preserve"> 6 years of age.  Because the pertussis antigens in DAPTACEL</w:t>
      </w:r>
      <w:r w:rsidRPr="005E036D">
        <w:rPr>
          <w:rFonts w:ascii="OceanSansForAventis-Bold" w:hAnsi="OceanSansForAventis-Bold" w:cs="OceanSansForAventis-Bold"/>
          <w:b/>
          <w:bCs/>
          <w:szCs w:val="24"/>
          <w:vertAlign w:val="superscript"/>
        </w:rPr>
        <w:t>®</w:t>
      </w:r>
      <w:r w:rsidRPr="002D3E3D">
        <w:rPr>
          <w:szCs w:val="24"/>
        </w:rPr>
        <w:t xml:space="preserve"> brand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 xml:space="preserve"> vaccine are the same as those in </w:t>
      </w:r>
      <w:r>
        <w:rPr>
          <w:b/>
          <w:szCs w:val="24"/>
        </w:rPr>
        <w:t>PENTACEL</w:t>
      </w:r>
      <w:r>
        <w:rPr>
          <w:b/>
          <w:vertAlign w:val="superscript"/>
        </w:rPr>
        <w:t>®</w:t>
      </w:r>
      <w:r w:rsidRPr="002D3E3D">
        <w:rPr>
          <w:szCs w:val="24"/>
        </w:rPr>
        <w:t>, these children should receive DAPTACEL</w:t>
      </w:r>
      <w:r>
        <w:rPr>
          <w:b/>
          <w:vertAlign w:val="superscript"/>
        </w:rPr>
        <w:t>®</w:t>
      </w:r>
      <w:r w:rsidRPr="002D3E3D">
        <w:rPr>
          <w:szCs w:val="24"/>
        </w:rPr>
        <w:t xml:space="preserve"> vaccine as their fifth dose of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 xml:space="preserve">.  </w:t>
      </w:r>
    </w:p>
    <w:p w:rsidR="005E036D" w:rsidRPr="002D3E3D" w:rsidRDefault="005E036D" w:rsidP="005E036D">
      <w:pPr>
        <w:rPr>
          <w:szCs w:val="24"/>
        </w:rPr>
      </w:pPr>
    </w:p>
    <w:p w:rsidR="005E036D" w:rsidRPr="002D3E3D" w:rsidRDefault="005E036D" w:rsidP="005E036D">
      <w:pPr>
        <w:rPr>
          <w:szCs w:val="24"/>
        </w:rPr>
      </w:pPr>
      <w:r w:rsidRPr="002D3E3D">
        <w:rPr>
          <w:szCs w:val="24"/>
        </w:rPr>
        <w:t>Data are not available to evaluate the safety of DAPTACEL</w:t>
      </w:r>
      <w:r>
        <w:rPr>
          <w:b/>
          <w:vertAlign w:val="superscript"/>
        </w:rPr>
        <w:t>®</w:t>
      </w:r>
      <w:r w:rsidRPr="002D3E3D">
        <w:rPr>
          <w:szCs w:val="24"/>
        </w:rPr>
        <w:t xml:space="preserve"> vaccine following four previous doses of </w:t>
      </w:r>
      <w:r>
        <w:rPr>
          <w:b/>
          <w:szCs w:val="24"/>
        </w:rPr>
        <w:t>PENTACEL</w:t>
      </w:r>
      <w:r>
        <w:rPr>
          <w:b/>
          <w:vertAlign w:val="superscript"/>
        </w:rPr>
        <w:t>®</w:t>
      </w:r>
      <w:r w:rsidRPr="002D3E3D">
        <w:rPr>
          <w:szCs w:val="24"/>
        </w:rPr>
        <w:t xml:space="preserve"> vaccine </w:t>
      </w:r>
      <w:r w:rsidRPr="002D3E3D">
        <w:rPr>
          <w:b/>
          <w:szCs w:val="24"/>
        </w:rPr>
        <w:t>[See the product’s package insert]</w:t>
      </w:r>
      <w:r w:rsidRPr="002D3E3D">
        <w:rPr>
          <w:szCs w:val="24"/>
        </w:rPr>
        <w:t xml:space="preserve">.  </w:t>
      </w:r>
    </w:p>
    <w:p w:rsidR="005E036D" w:rsidRPr="002D3E3D" w:rsidRDefault="005E036D" w:rsidP="005E036D"/>
    <w:p w:rsidR="005E036D" w:rsidRPr="002D3E3D" w:rsidRDefault="005E036D" w:rsidP="005E036D">
      <w:pPr>
        <w:rPr>
          <w:szCs w:val="24"/>
        </w:rPr>
      </w:pPr>
      <w:r w:rsidRPr="002D3E3D">
        <w:t xml:space="preserve">ACIP has clarified the poliovirus vaccination schedule to </w:t>
      </w:r>
      <w:proofErr w:type="gramStart"/>
      <w:r w:rsidRPr="002D3E3D">
        <w:t>be used</w:t>
      </w:r>
      <w:proofErr w:type="gramEnd"/>
      <w:r w:rsidRPr="002D3E3D">
        <w:t xml:space="preserve"> for specific combination vaccines.  </w:t>
      </w:r>
      <w:r w:rsidRPr="002D3E3D">
        <w:rPr>
          <w:rFonts w:cs="Adobe Garamond Pro"/>
          <w:szCs w:val="24"/>
        </w:rPr>
        <w:t xml:space="preserve">When </w:t>
      </w:r>
      <w:proofErr w:type="spellStart"/>
      <w:r w:rsidRPr="002D3E3D">
        <w:rPr>
          <w:rFonts w:cs="Adobe Garamond Pro"/>
          <w:szCs w:val="24"/>
        </w:rPr>
        <w:t>DTaP</w:t>
      </w:r>
      <w:proofErr w:type="spellEnd"/>
      <w:r w:rsidRPr="002D3E3D">
        <w:rPr>
          <w:rFonts w:cs="Adobe Garamond Pro"/>
          <w:szCs w:val="24"/>
        </w:rPr>
        <w:t>-IPV/Hib (</w:t>
      </w:r>
      <w:r w:rsidRPr="005E036D">
        <w:rPr>
          <w:rFonts w:cs="Adobe Garamond Pro"/>
          <w:b/>
          <w:szCs w:val="24"/>
        </w:rPr>
        <w:t>PENTACEL</w:t>
      </w:r>
      <w:r>
        <w:rPr>
          <w:b/>
          <w:vertAlign w:val="superscript"/>
        </w:rPr>
        <w:t>®</w:t>
      </w:r>
      <w:r w:rsidRPr="002D3E3D">
        <w:rPr>
          <w:rFonts w:cs="Adobe Garamond Pro"/>
          <w:szCs w:val="24"/>
        </w:rPr>
        <w:t>) is used to provide 4 doses at ages 2, 4, 6, and 15</w:t>
      </w:r>
      <w:r>
        <w:rPr>
          <w:rFonts w:cs="Adobe Garamond Pro"/>
          <w:szCs w:val="24"/>
        </w:rPr>
        <w:t xml:space="preserve"> through </w:t>
      </w:r>
      <w:r w:rsidRPr="002D3E3D">
        <w:rPr>
          <w:rFonts w:cs="Adobe Garamond Pro"/>
          <w:szCs w:val="24"/>
        </w:rPr>
        <w:t xml:space="preserve">18 months, an </w:t>
      </w:r>
      <w:r w:rsidRPr="002D3E3D">
        <w:rPr>
          <w:szCs w:val="24"/>
        </w:rPr>
        <w:t xml:space="preserve">additional booster dose of age-appropriate IPV-containing vaccine (IPV [IPOL] or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>-IPV (KINRIX</w:t>
      </w:r>
      <w:r>
        <w:rPr>
          <w:b/>
          <w:vertAlign w:val="superscript"/>
        </w:rPr>
        <w:t>®</w:t>
      </w:r>
      <w:r w:rsidRPr="002D3E3D">
        <w:rPr>
          <w:szCs w:val="24"/>
        </w:rPr>
        <w:t>]) should be administered at age 4</w:t>
      </w:r>
      <w:r>
        <w:rPr>
          <w:szCs w:val="24"/>
        </w:rPr>
        <w:t xml:space="preserve"> through </w:t>
      </w:r>
      <w:r w:rsidRPr="002D3E3D">
        <w:rPr>
          <w:szCs w:val="24"/>
        </w:rPr>
        <w:t xml:space="preserve">6 years.  This will result in a 5-dose IPV vaccine series, which </w:t>
      </w:r>
      <w:proofErr w:type="gramStart"/>
      <w:r w:rsidRPr="002D3E3D">
        <w:rPr>
          <w:szCs w:val="24"/>
        </w:rPr>
        <w:t>is considered</w:t>
      </w:r>
      <w:proofErr w:type="gramEnd"/>
      <w:r w:rsidRPr="002D3E3D">
        <w:rPr>
          <w:szCs w:val="24"/>
        </w:rPr>
        <w:t xml:space="preserve"> acceptable by ACIP.  </w:t>
      </w:r>
      <w:r>
        <w:rPr>
          <w:szCs w:val="24"/>
        </w:rPr>
        <w:br/>
      </w:r>
      <w:proofErr w:type="spellStart"/>
      <w:r w:rsidRPr="002D3E3D">
        <w:t>DTaP</w:t>
      </w:r>
      <w:proofErr w:type="spellEnd"/>
      <w:r w:rsidRPr="002D3E3D">
        <w:t xml:space="preserve">-IPV/Hib </w:t>
      </w:r>
      <w:r w:rsidRPr="002D3E3D">
        <w:rPr>
          <w:rFonts w:cs="Adobe Garamond Pro"/>
          <w:szCs w:val="24"/>
        </w:rPr>
        <w:t>(</w:t>
      </w:r>
      <w:r w:rsidRPr="005E036D">
        <w:rPr>
          <w:rFonts w:cs="Adobe Garamond Pro"/>
          <w:b/>
          <w:szCs w:val="24"/>
        </w:rPr>
        <w:t>PENTACEL</w:t>
      </w:r>
      <w:r>
        <w:rPr>
          <w:b/>
          <w:vertAlign w:val="superscript"/>
        </w:rPr>
        <w:t>®</w:t>
      </w:r>
      <w:r w:rsidRPr="002D3E3D">
        <w:rPr>
          <w:rFonts w:cs="Adobe Garamond Pro"/>
          <w:szCs w:val="24"/>
        </w:rPr>
        <w:t xml:space="preserve">) </w:t>
      </w:r>
      <w:r w:rsidRPr="002D3E3D">
        <w:t xml:space="preserve">is not indicated for the booster dose at age </w:t>
      </w:r>
      <w:proofErr w:type="gramStart"/>
      <w:r w:rsidRPr="002D3E3D">
        <w:t>4</w:t>
      </w:r>
      <w:proofErr w:type="gramEnd"/>
      <w:r>
        <w:t xml:space="preserve"> through </w:t>
      </w:r>
      <w:r w:rsidRPr="002D3E3D">
        <w:t xml:space="preserve">6 years.  ACIP recommends that the minimum interval from dose </w:t>
      </w:r>
      <w:r>
        <w:t>#</w:t>
      </w:r>
      <w:r w:rsidRPr="002D3E3D">
        <w:t>4 to dose</w:t>
      </w:r>
      <w:r>
        <w:t xml:space="preserve"> #</w:t>
      </w:r>
      <w:r w:rsidRPr="002D3E3D">
        <w:t xml:space="preserve">5 should be at least 6 </w:t>
      </w:r>
      <w:r w:rsidRPr="002D3E3D">
        <w:lastRenderedPageBreak/>
        <w:t>months to provide an optimum booster response.  In accordance with existing recommendations, if a child misses an IPV dose at age 4</w:t>
      </w:r>
      <w:r>
        <w:t xml:space="preserve"> through </w:t>
      </w:r>
      <w:r w:rsidRPr="002D3E3D">
        <w:t xml:space="preserve">6 years, the child should receive a booster dose as soon as feasible </w:t>
      </w:r>
      <w:r w:rsidRPr="002D3E3D">
        <w:rPr>
          <w:szCs w:val="24"/>
        </w:rPr>
        <w:t xml:space="preserve"> (MMWR August 7, 2009/ 58(30); 830).</w:t>
      </w:r>
    </w:p>
    <w:p w:rsidR="005E036D" w:rsidRPr="002D3E3D" w:rsidRDefault="005E036D" w:rsidP="005E036D">
      <w:pPr>
        <w:rPr>
          <w:szCs w:val="24"/>
        </w:rPr>
      </w:pPr>
    </w:p>
    <w:p w:rsidR="005E036D" w:rsidRPr="002D3E3D" w:rsidRDefault="005E036D" w:rsidP="005E036D">
      <w:pPr>
        <w:rPr>
          <w:szCs w:val="24"/>
        </w:rPr>
      </w:pPr>
      <w:proofErr w:type="gramStart"/>
      <w:r w:rsidRPr="002D3E3D">
        <w:rPr>
          <w:b/>
          <w:szCs w:val="24"/>
        </w:rPr>
        <w:t>Children Previously Vaccinated with One or More Doses of DAPTACEL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b/>
          <w:szCs w:val="24"/>
        </w:rPr>
        <w:t xml:space="preserve"> Vaccine:</w:t>
      </w:r>
      <w:r w:rsidRPr="002D3E3D">
        <w:rPr>
          <w:szCs w:val="24"/>
        </w:rPr>
        <w:t xml:space="preserve"> 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vaccine may be used to complete the first 4 doses of the </w:t>
      </w:r>
      <w:proofErr w:type="spellStart"/>
      <w:r w:rsidRPr="002D3E3D">
        <w:rPr>
          <w:szCs w:val="24"/>
        </w:rPr>
        <w:t>DTaP</w:t>
      </w:r>
      <w:proofErr w:type="spellEnd"/>
      <w:r w:rsidRPr="002D3E3D">
        <w:rPr>
          <w:szCs w:val="24"/>
        </w:rPr>
        <w:t xml:space="preserve"> series in infants and children who have received one or more doses of DAPTACEL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and are also scheduled to receive the other antigens of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vaccine, however, the safety and efficacy of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vaccine in such infants have not been evaluated </w:t>
      </w:r>
      <w:r w:rsidRPr="002D3E3D">
        <w:rPr>
          <w:b/>
          <w:szCs w:val="24"/>
        </w:rPr>
        <w:t>[See the product’s package insert</w:t>
      </w:r>
      <w:r w:rsidRPr="002D3E3D">
        <w:rPr>
          <w:szCs w:val="24"/>
        </w:rPr>
        <w:t>]</w:t>
      </w:r>
      <w:proofErr w:type="gramEnd"/>
    </w:p>
    <w:p w:rsidR="005E036D" w:rsidRPr="002D3E3D" w:rsidRDefault="005E036D" w:rsidP="005E036D">
      <w:pPr>
        <w:keepNext/>
        <w:keepLines/>
        <w:rPr>
          <w:szCs w:val="24"/>
        </w:rPr>
      </w:pPr>
    </w:p>
    <w:p w:rsidR="005E036D" w:rsidRPr="002D3E3D" w:rsidRDefault="005E036D" w:rsidP="005E036D">
      <w:pPr>
        <w:rPr>
          <w:szCs w:val="24"/>
        </w:rPr>
      </w:pPr>
      <w:proofErr w:type="gramStart"/>
      <w:r w:rsidRPr="002D3E3D">
        <w:rPr>
          <w:b/>
          <w:szCs w:val="24"/>
        </w:rPr>
        <w:t>Children Previously Vaccinated with One or More Doses of IPV:</w:t>
      </w:r>
      <w:r w:rsidRPr="002D3E3D">
        <w:rPr>
          <w:szCs w:val="24"/>
        </w:rPr>
        <w:t xml:space="preserve"> 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vaccine may be used in the 4 dose IPV series in infants and children who have received 1 or more doses of another licensed IPV vaccine and are also scheduled to receive the other antigens of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vaccine, however, the safety and efficacy of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b/>
          <w:szCs w:val="24"/>
        </w:rPr>
        <w:t xml:space="preserve"> </w:t>
      </w:r>
      <w:r w:rsidRPr="002D3E3D">
        <w:rPr>
          <w:szCs w:val="24"/>
        </w:rPr>
        <w:t xml:space="preserve">in such infants have not been evaluated </w:t>
      </w:r>
      <w:r w:rsidRPr="002D3E3D">
        <w:rPr>
          <w:b/>
          <w:szCs w:val="24"/>
        </w:rPr>
        <w:t>[See the product’s package insert]</w:t>
      </w:r>
      <w:r w:rsidRPr="002D3E3D">
        <w:rPr>
          <w:szCs w:val="24"/>
        </w:rPr>
        <w:t>.</w:t>
      </w:r>
      <w:proofErr w:type="gramEnd"/>
      <w:r w:rsidRPr="002D3E3D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is not indicated for the booster dose at age </w:t>
      </w:r>
      <w:proofErr w:type="gramStart"/>
      <w:r w:rsidRPr="002D3E3D">
        <w:rPr>
          <w:szCs w:val="24"/>
        </w:rPr>
        <w:t>4</w:t>
      </w:r>
      <w:proofErr w:type="gramEnd"/>
      <w:r>
        <w:rPr>
          <w:szCs w:val="24"/>
        </w:rPr>
        <w:t xml:space="preserve"> through </w:t>
      </w:r>
      <w:r w:rsidRPr="002D3E3D">
        <w:rPr>
          <w:szCs w:val="24"/>
        </w:rPr>
        <w:t>6 years.</w:t>
      </w:r>
    </w:p>
    <w:p w:rsidR="005E036D" w:rsidRPr="002D3E3D" w:rsidRDefault="005E036D" w:rsidP="005E036D">
      <w:pPr>
        <w:rPr>
          <w:szCs w:val="24"/>
        </w:rPr>
      </w:pPr>
    </w:p>
    <w:p w:rsidR="005E036D" w:rsidRPr="002D3E3D" w:rsidRDefault="005E036D" w:rsidP="005E036D">
      <w:pPr>
        <w:rPr>
          <w:szCs w:val="24"/>
        </w:rPr>
      </w:pPr>
      <w:proofErr w:type="gramStart"/>
      <w:r w:rsidRPr="002D3E3D">
        <w:rPr>
          <w:b/>
          <w:szCs w:val="24"/>
        </w:rPr>
        <w:t xml:space="preserve">Children Previously Vaccinated with One or More Doses of </w:t>
      </w:r>
      <w:proofErr w:type="spellStart"/>
      <w:r w:rsidRPr="002D3E3D">
        <w:rPr>
          <w:b/>
          <w:i/>
          <w:szCs w:val="24"/>
        </w:rPr>
        <w:t>Haemophilus</w:t>
      </w:r>
      <w:proofErr w:type="spellEnd"/>
      <w:r w:rsidRPr="002D3E3D">
        <w:rPr>
          <w:b/>
          <w:szCs w:val="24"/>
        </w:rPr>
        <w:t xml:space="preserve"> b Conjugate Vaccine:</w:t>
      </w:r>
      <w:r w:rsidRPr="002D3E3D">
        <w:rPr>
          <w:szCs w:val="24"/>
        </w:rPr>
        <w:t xml:space="preserve"> 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may be used to complete the vaccination series in infants and children previously vaccinated with one or more doses of a </w:t>
      </w:r>
      <w:proofErr w:type="spellStart"/>
      <w:r w:rsidRPr="002D3E3D">
        <w:rPr>
          <w:i/>
          <w:szCs w:val="24"/>
        </w:rPr>
        <w:t>Haemophilus</w:t>
      </w:r>
      <w:proofErr w:type="spellEnd"/>
      <w:r w:rsidRPr="002D3E3D">
        <w:rPr>
          <w:szCs w:val="24"/>
        </w:rPr>
        <w:t xml:space="preserve"> b conjugate vaccine (either separately administered or as part of another combination vaccine), who are also scheduled to receive the other antigens of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b/>
          <w:szCs w:val="24"/>
        </w:rPr>
        <w:t xml:space="preserve"> </w:t>
      </w:r>
      <w:r w:rsidRPr="002D3E3D">
        <w:rPr>
          <w:szCs w:val="24"/>
        </w:rPr>
        <w:t xml:space="preserve">vaccine, however, the safety and efficacy of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b/>
          <w:szCs w:val="24"/>
        </w:rPr>
        <w:t xml:space="preserve"> </w:t>
      </w:r>
      <w:r w:rsidRPr="002D3E3D">
        <w:rPr>
          <w:szCs w:val="24"/>
        </w:rPr>
        <w:t xml:space="preserve">vaccine in such infants have not been evaluated </w:t>
      </w:r>
      <w:r w:rsidRPr="002D3E3D">
        <w:rPr>
          <w:b/>
          <w:szCs w:val="24"/>
        </w:rPr>
        <w:t>[See the product’s package insert</w:t>
      </w:r>
      <w:r w:rsidRPr="002D3E3D">
        <w:rPr>
          <w:szCs w:val="24"/>
        </w:rPr>
        <w:t>].</w:t>
      </w:r>
      <w:proofErr w:type="gramEnd"/>
      <w:r w:rsidRPr="002D3E3D">
        <w:rPr>
          <w:szCs w:val="24"/>
        </w:rPr>
        <w:t xml:space="preserve">  If different brands of </w:t>
      </w:r>
      <w:proofErr w:type="spellStart"/>
      <w:r w:rsidRPr="002D3E3D">
        <w:rPr>
          <w:i/>
          <w:szCs w:val="24"/>
        </w:rPr>
        <w:t>Haemophilus</w:t>
      </w:r>
      <w:proofErr w:type="spellEnd"/>
      <w:r w:rsidRPr="002D3E3D">
        <w:rPr>
          <w:szCs w:val="24"/>
        </w:rPr>
        <w:t xml:space="preserve"> b conjugate vaccines </w:t>
      </w:r>
      <w:proofErr w:type="gramStart"/>
      <w:r w:rsidRPr="002D3E3D">
        <w:rPr>
          <w:szCs w:val="24"/>
        </w:rPr>
        <w:t>are administered</w:t>
      </w:r>
      <w:proofErr w:type="gramEnd"/>
      <w:r w:rsidRPr="002D3E3D">
        <w:rPr>
          <w:szCs w:val="24"/>
        </w:rPr>
        <w:t xml:space="preserve"> to complete the series, three primary immunizing doses are needed, followed by a booster dose. </w:t>
      </w:r>
    </w:p>
    <w:p w:rsidR="005E036D" w:rsidRPr="002D3E3D" w:rsidRDefault="005E036D" w:rsidP="005E036D">
      <w:pPr>
        <w:rPr>
          <w:szCs w:val="24"/>
        </w:rPr>
      </w:pPr>
    </w:p>
    <w:p w:rsidR="005E036D" w:rsidRPr="002D3E3D" w:rsidRDefault="005E036D" w:rsidP="005E036D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Dosage and Route</w:t>
      </w:r>
    </w:p>
    <w:p w:rsidR="005E036D" w:rsidRPr="002D3E3D" w:rsidRDefault="005E036D" w:rsidP="005E036D">
      <w:pPr>
        <w:autoSpaceDE w:val="0"/>
        <w:autoSpaceDN w:val="0"/>
        <w:adjustRightInd w:val="0"/>
        <w:spacing w:after="120"/>
        <w:rPr>
          <w:szCs w:val="24"/>
        </w:rPr>
      </w:pPr>
      <w:r w:rsidRPr="002D3E3D">
        <w:rPr>
          <w:szCs w:val="24"/>
        </w:rPr>
        <w:t xml:space="preserve">Give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vaccine 0.5 mL intramuscularly (IM). </w:t>
      </w:r>
    </w:p>
    <w:p w:rsidR="005E036D" w:rsidRPr="002D3E3D" w:rsidRDefault="005E036D" w:rsidP="005E036D">
      <w:pPr>
        <w:widowControl w:val="0"/>
        <w:spacing w:before="120"/>
        <w:rPr>
          <w:szCs w:val="24"/>
        </w:rPr>
      </w:pPr>
      <w:r w:rsidRPr="002D3E3D">
        <w:rPr>
          <w:b/>
          <w:szCs w:val="24"/>
        </w:rPr>
        <w:t>Always check the package insert prior to administration of any vaccine</w:t>
      </w:r>
      <w:r w:rsidRPr="002D3E3D">
        <w:rPr>
          <w:szCs w:val="24"/>
        </w:rPr>
        <w:t xml:space="preserve">.  </w:t>
      </w:r>
    </w:p>
    <w:p w:rsidR="005E036D" w:rsidRPr="002D3E3D" w:rsidRDefault="005E036D" w:rsidP="005E036D">
      <w:pPr>
        <w:widowControl w:val="0"/>
        <w:spacing w:before="120"/>
        <w:rPr>
          <w:szCs w:val="24"/>
        </w:rPr>
      </w:pPr>
    </w:p>
    <w:p w:rsidR="005E036D" w:rsidRPr="002D3E3D" w:rsidRDefault="005E036D" w:rsidP="005E036D">
      <w:pPr>
        <w:autoSpaceDE w:val="0"/>
        <w:autoSpaceDN w:val="0"/>
        <w:adjustRightInd w:val="0"/>
        <w:spacing w:after="120"/>
        <w:rPr>
          <w:szCs w:val="24"/>
        </w:rPr>
      </w:pPr>
      <w:r w:rsidRPr="002D3E3D">
        <w:rPr>
          <w:b/>
          <w:szCs w:val="24"/>
          <w:u w:val="single"/>
        </w:rPr>
        <w:t>Anatomical Site</w:t>
      </w:r>
      <w:r w:rsidRPr="002D3E3D">
        <w:rPr>
          <w:szCs w:val="24"/>
        </w:rPr>
        <w:t xml:space="preserve"> </w:t>
      </w:r>
    </w:p>
    <w:p w:rsidR="005E036D" w:rsidRPr="002D3E3D" w:rsidRDefault="005E036D" w:rsidP="005E036D">
      <w:pPr>
        <w:autoSpaceDE w:val="0"/>
        <w:autoSpaceDN w:val="0"/>
        <w:adjustRightInd w:val="0"/>
        <w:spacing w:after="120"/>
        <w:rPr>
          <w:szCs w:val="24"/>
        </w:rPr>
      </w:pPr>
      <w:r w:rsidRPr="002D3E3D">
        <w:rPr>
          <w:szCs w:val="24"/>
        </w:rPr>
        <w:t xml:space="preserve">The preferred sites are the anterolateral aspects of the thigh or into the deltoid muscle.  The vaccine </w:t>
      </w:r>
      <w:proofErr w:type="gramStart"/>
      <w:r w:rsidRPr="002D3E3D">
        <w:rPr>
          <w:szCs w:val="24"/>
        </w:rPr>
        <w:t>should not be injected</w:t>
      </w:r>
      <w:proofErr w:type="gramEnd"/>
      <w:r w:rsidRPr="002D3E3D">
        <w:rPr>
          <w:szCs w:val="24"/>
        </w:rPr>
        <w:t xml:space="preserve"> into the gluteal area or areas where there is a major nerve trunk.</w:t>
      </w:r>
    </w:p>
    <w:p w:rsidR="005E036D" w:rsidRPr="002D3E3D" w:rsidRDefault="005E036D" w:rsidP="005E036D">
      <w:pPr>
        <w:autoSpaceDE w:val="0"/>
        <w:autoSpaceDN w:val="0"/>
        <w:adjustRightInd w:val="0"/>
        <w:rPr>
          <w:bCs/>
          <w:szCs w:val="24"/>
        </w:rPr>
      </w:pPr>
    </w:p>
    <w:p w:rsidR="005E036D" w:rsidRPr="002D3E3D" w:rsidRDefault="005E036D" w:rsidP="005E036D">
      <w:pPr>
        <w:keepNext/>
        <w:keepLines/>
        <w:widowControl w:val="0"/>
        <w:rPr>
          <w:b/>
          <w:szCs w:val="24"/>
        </w:rPr>
      </w:pPr>
      <w:r w:rsidRPr="002D3E3D">
        <w:rPr>
          <w:b/>
          <w:szCs w:val="24"/>
          <w:u w:val="single"/>
        </w:rPr>
        <w:t>Preparation for Administration</w:t>
      </w:r>
      <w:r w:rsidRPr="002D3E3D">
        <w:rPr>
          <w:b/>
          <w:szCs w:val="24"/>
        </w:rPr>
        <w:t>:</w:t>
      </w:r>
    </w:p>
    <w:p w:rsidR="005E036D" w:rsidRPr="002D3E3D" w:rsidRDefault="005E036D" w:rsidP="005E036D">
      <w:pPr>
        <w:keepNext/>
        <w:keepLines/>
        <w:widowControl w:val="0"/>
        <w:spacing w:before="120"/>
        <w:rPr>
          <w:szCs w:val="24"/>
        </w:rPr>
      </w:pP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vaccine </w:t>
      </w:r>
      <w:proofErr w:type="gramStart"/>
      <w:r w:rsidRPr="002D3E3D">
        <w:rPr>
          <w:szCs w:val="24"/>
        </w:rPr>
        <w:t>should be inspected</w:t>
      </w:r>
      <w:proofErr w:type="gramEnd"/>
      <w:r w:rsidRPr="002D3E3D">
        <w:rPr>
          <w:szCs w:val="24"/>
        </w:rPr>
        <w:t xml:space="preserve"> visually for extraneous particulate matter and/or discoloration before administration.  If these conditions exist,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vaccine </w:t>
      </w:r>
      <w:proofErr w:type="gramStart"/>
      <w:r w:rsidRPr="002D3E3D">
        <w:rPr>
          <w:szCs w:val="24"/>
        </w:rPr>
        <w:t>should not be administered</w:t>
      </w:r>
      <w:proofErr w:type="gramEnd"/>
      <w:r w:rsidRPr="002D3E3D">
        <w:rPr>
          <w:szCs w:val="24"/>
        </w:rPr>
        <w:t>.</w:t>
      </w:r>
    </w:p>
    <w:p w:rsidR="005E036D" w:rsidRPr="002D3E3D" w:rsidRDefault="005E036D" w:rsidP="005E036D">
      <w:pPr>
        <w:widowControl w:val="0"/>
        <w:rPr>
          <w:b/>
          <w:szCs w:val="24"/>
          <w:u w:val="single"/>
        </w:rPr>
      </w:pPr>
    </w:p>
    <w:p w:rsidR="005E036D" w:rsidRPr="002D3E3D" w:rsidRDefault="005E036D" w:rsidP="005E036D">
      <w:pPr>
        <w:widowControl w:val="0"/>
        <w:spacing w:before="60" w:after="60"/>
        <w:ind w:left="36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Reconstitution of Freeze-Dried Product and Withdrawal from Stoppered Vial:</w:t>
      </w:r>
    </w:p>
    <w:p w:rsidR="005E036D" w:rsidRPr="002D3E3D" w:rsidRDefault="005E036D" w:rsidP="005E036D">
      <w:pPr>
        <w:widowControl w:val="0"/>
        <w:numPr>
          <w:ilvl w:val="0"/>
          <w:numId w:val="5"/>
        </w:numPr>
        <w:tabs>
          <w:tab w:val="num" w:pos="1080"/>
        </w:tabs>
        <w:spacing w:before="60" w:after="60"/>
        <w:ind w:left="1080"/>
        <w:rPr>
          <w:szCs w:val="24"/>
          <w:u w:val="single"/>
        </w:rPr>
      </w:pPr>
      <w:r w:rsidRPr="002D3E3D">
        <w:rPr>
          <w:szCs w:val="24"/>
          <w:u w:val="single"/>
        </w:rPr>
        <w:t xml:space="preserve">Gently shake the vial of </w:t>
      </w:r>
      <w:proofErr w:type="spellStart"/>
      <w:r w:rsidRPr="002D3E3D">
        <w:rPr>
          <w:szCs w:val="24"/>
          <w:u w:val="single"/>
        </w:rPr>
        <w:t>DTaP</w:t>
      </w:r>
      <w:proofErr w:type="spellEnd"/>
      <w:r w:rsidRPr="002D3E3D">
        <w:rPr>
          <w:szCs w:val="24"/>
          <w:u w:val="single"/>
        </w:rPr>
        <w:t>-IPV component</w:t>
      </w:r>
    </w:p>
    <w:p w:rsidR="005E036D" w:rsidRPr="002D3E3D" w:rsidRDefault="005E036D" w:rsidP="005E036D">
      <w:pPr>
        <w:widowControl w:val="0"/>
        <w:numPr>
          <w:ilvl w:val="0"/>
          <w:numId w:val="5"/>
        </w:numPr>
        <w:tabs>
          <w:tab w:val="num" w:pos="1080"/>
        </w:tabs>
        <w:spacing w:before="60" w:after="60"/>
        <w:ind w:left="1080"/>
        <w:rPr>
          <w:szCs w:val="24"/>
          <w:u w:val="single"/>
        </w:rPr>
      </w:pPr>
      <w:r w:rsidRPr="002D3E3D">
        <w:rPr>
          <w:szCs w:val="24"/>
          <w:u w:val="single"/>
        </w:rPr>
        <w:lastRenderedPageBreak/>
        <w:t>Withdraw the entire liquid content</w:t>
      </w:r>
    </w:p>
    <w:p w:rsidR="005E036D" w:rsidRPr="002D3E3D" w:rsidRDefault="005E036D" w:rsidP="005E036D">
      <w:pPr>
        <w:widowControl w:val="0"/>
        <w:numPr>
          <w:ilvl w:val="0"/>
          <w:numId w:val="5"/>
        </w:numPr>
        <w:tabs>
          <w:tab w:val="num" w:pos="1080"/>
        </w:tabs>
        <w:spacing w:before="60" w:after="60"/>
        <w:ind w:left="1080"/>
        <w:rPr>
          <w:szCs w:val="24"/>
          <w:u w:val="single"/>
        </w:rPr>
      </w:pPr>
      <w:r w:rsidRPr="002D3E3D">
        <w:rPr>
          <w:szCs w:val="24"/>
          <w:u w:val="single"/>
        </w:rPr>
        <w:t xml:space="preserve">Insert the syringe needle through the stopper of the vial of lyophilized </w:t>
      </w:r>
      <w:proofErr w:type="spellStart"/>
      <w:r w:rsidRPr="002D3E3D">
        <w:rPr>
          <w:szCs w:val="24"/>
          <w:u w:val="single"/>
        </w:rPr>
        <w:t>ActHIB</w:t>
      </w:r>
      <w:proofErr w:type="spellEnd"/>
      <w:r w:rsidRPr="002D3E3D">
        <w:rPr>
          <w:szCs w:val="24"/>
          <w:u w:val="single"/>
        </w:rPr>
        <w:t xml:space="preserve"> vaccine component and inject the liquid into the vial.</w:t>
      </w:r>
    </w:p>
    <w:p w:rsidR="005E036D" w:rsidRPr="002D3E3D" w:rsidRDefault="005E036D" w:rsidP="005E036D">
      <w:pPr>
        <w:widowControl w:val="0"/>
        <w:numPr>
          <w:ilvl w:val="0"/>
          <w:numId w:val="5"/>
        </w:numPr>
        <w:tabs>
          <w:tab w:val="num" w:pos="1080"/>
        </w:tabs>
        <w:spacing w:before="60" w:after="60"/>
        <w:ind w:left="1080"/>
        <w:rPr>
          <w:szCs w:val="24"/>
          <w:u w:val="single"/>
        </w:rPr>
      </w:pPr>
      <w:r w:rsidRPr="002D3E3D">
        <w:rPr>
          <w:szCs w:val="24"/>
          <w:u w:val="single"/>
        </w:rPr>
        <w:t>Shake vial thoroughly</w:t>
      </w:r>
    </w:p>
    <w:p w:rsidR="005E036D" w:rsidRPr="002D3E3D" w:rsidRDefault="005E036D" w:rsidP="005E036D">
      <w:pPr>
        <w:numPr>
          <w:ilvl w:val="0"/>
          <w:numId w:val="5"/>
        </w:numPr>
        <w:tabs>
          <w:tab w:val="num" w:pos="1080"/>
        </w:tabs>
        <w:spacing w:before="60" w:after="60"/>
        <w:ind w:left="1080"/>
        <w:rPr>
          <w:szCs w:val="24"/>
          <w:u w:val="single"/>
        </w:rPr>
      </w:pPr>
      <w:r w:rsidRPr="002D3E3D">
        <w:rPr>
          <w:szCs w:val="24"/>
          <w:u w:val="single"/>
        </w:rPr>
        <w:t xml:space="preserve">After reconstitution, immediately withdraw 0.5 mL of </w:t>
      </w:r>
      <w:r>
        <w:rPr>
          <w:b/>
          <w:szCs w:val="24"/>
          <w:u w:val="single"/>
        </w:rPr>
        <w:t>PENTACEL</w:t>
      </w:r>
      <w:r w:rsidRPr="005E036D">
        <w:rPr>
          <w:b/>
          <w:szCs w:val="24"/>
          <w:u w:val="single"/>
          <w:vertAlign w:val="superscript"/>
        </w:rPr>
        <w:t>®</w:t>
      </w:r>
      <w:r w:rsidRPr="002D3E3D">
        <w:rPr>
          <w:szCs w:val="24"/>
          <w:u w:val="single"/>
        </w:rPr>
        <w:t xml:space="preserve"> vaccine and administer intramuscularly</w:t>
      </w:r>
    </w:p>
    <w:p w:rsidR="005E036D" w:rsidRPr="002D3E3D" w:rsidRDefault="005E036D" w:rsidP="005E036D">
      <w:pPr>
        <w:numPr>
          <w:ilvl w:val="0"/>
          <w:numId w:val="5"/>
        </w:numPr>
        <w:tabs>
          <w:tab w:val="num" w:pos="1080"/>
        </w:tabs>
        <w:spacing w:before="60" w:after="60"/>
        <w:ind w:left="1080"/>
        <w:rPr>
          <w:szCs w:val="24"/>
          <w:u w:val="single"/>
        </w:rPr>
      </w:pPr>
      <w:r>
        <w:rPr>
          <w:b/>
          <w:szCs w:val="24"/>
          <w:u w:val="single"/>
        </w:rPr>
        <w:t>PENTACEL</w:t>
      </w:r>
      <w:r w:rsidRPr="005E036D">
        <w:rPr>
          <w:b/>
          <w:szCs w:val="24"/>
          <w:u w:val="single"/>
          <w:vertAlign w:val="superscript"/>
        </w:rPr>
        <w:t>®</w:t>
      </w:r>
      <w:r w:rsidRPr="002D3E3D">
        <w:rPr>
          <w:szCs w:val="24"/>
          <w:u w:val="single"/>
        </w:rPr>
        <w:t xml:space="preserve"> should be used immediately after reconstitution</w:t>
      </w:r>
    </w:p>
    <w:p w:rsidR="005E036D" w:rsidRDefault="005E036D" w:rsidP="005E036D">
      <w:pPr>
        <w:widowControl w:val="0"/>
        <w:rPr>
          <w:szCs w:val="24"/>
          <w:u w:val="single"/>
        </w:rPr>
      </w:pPr>
    </w:p>
    <w:p w:rsidR="005E036D" w:rsidRPr="002D3E3D" w:rsidRDefault="005E036D" w:rsidP="005E036D">
      <w:pPr>
        <w:widowControl w:val="0"/>
        <w:rPr>
          <w:szCs w:val="24"/>
          <w:u w:val="single"/>
        </w:rPr>
      </w:pPr>
    </w:p>
    <w:p w:rsidR="005E036D" w:rsidRPr="002D3E3D" w:rsidRDefault="005E036D" w:rsidP="005E036D">
      <w:pPr>
        <w:keepNext/>
        <w:tabs>
          <w:tab w:val="left" w:pos="3240"/>
        </w:tabs>
        <w:spacing w:before="60"/>
        <w:outlineLvl w:val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EFA65" wp14:editId="5F38B714">
                <wp:simplePos x="0" y="0"/>
                <wp:positionH relativeFrom="column">
                  <wp:posOffset>171450</wp:posOffset>
                </wp:positionH>
                <wp:positionV relativeFrom="paragraph">
                  <wp:posOffset>71755</wp:posOffset>
                </wp:positionV>
                <wp:extent cx="5715000" cy="1028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36D" w:rsidRDefault="005E036D" w:rsidP="005E036D">
                            <w:pPr>
                              <w:spacing w:before="60" w:after="60"/>
                            </w:pPr>
                            <w:bookmarkStart w:id="3" w:name="GenInfo"/>
                            <w:bookmarkEnd w:id="3"/>
                            <w:r w:rsidRPr="003841E6">
                              <w:rPr>
                                <w:b/>
                                <w:bCs/>
                                <w:szCs w:val="24"/>
                              </w:rPr>
                              <w:t xml:space="preserve">The contraindications and precautions for </w:t>
                            </w:r>
                            <w:proofErr w:type="spellStart"/>
                            <w:r w:rsidRPr="003841E6">
                              <w:rPr>
                                <w:b/>
                                <w:bCs/>
                                <w:szCs w:val="24"/>
                              </w:rPr>
                              <w:t>DTaP</w:t>
                            </w:r>
                            <w:proofErr w:type="spellEnd"/>
                            <w:r w:rsidRPr="003841E6">
                              <w:rPr>
                                <w:b/>
                                <w:bCs/>
                                <w:szCs w:val="24"/>
                              </w:rPr>
                              <w:t xml:space="preserve">-IPV/Hib are the same as they would be for any of its individual component vaccines.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3841E6">
                              <w:rPr>
                                <w:b/>
                                <w:bCs/>
                                <w:szCs w:val="24"/>
                              </w:rPr>
                              <w:t>Please refer to the package insert for a complete list of contraindications and precautions and to the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other</w:t>
                            </w:r>
                            <w:r w:rsidRPr="003841E6">
                              <w:rPr>
                                <w:b/>
                                <w:bCs/>
                                <w:szCs w:val="24"/>
                              </w:rPr>
                              <w:t xml:space="preserve"> immunization protocols for the individual component vaccines.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EFA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.5pt;margin-top:5.65pt;width:45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">
                <v:textbox>
                  <w:txbxContent>
                    <w:p w:rsidR="005E036D" w:rsidRDefault="005E036D" w:rsidP="005E036D">
                      <w:pPr>
                        <w:spacing w:before="60" w:after="60"/>
                      </w:pPr>
                      <w:bookmarkStart w:id="4" w:name="GenInfo"/>
                      <w:bookmarkEnd w:id="4"/>
                      <w:r w:rsidRPr="003841E6">
                        <w:rPr>
                          <w:b/>
                          <w:bCs/>
                          <w:szCs w:val="24"/>
                        </w:rPr>
                        <w:t xml:space="preserve">The contraindications and precautions for </w:t>
                      </w:r>
                      <w:proofErr w:type="spellStart"/>
                      <w:r w:rsidRPr="003841E6">
                        <w:rPr>
                          <w:b/>
                          <w:bCs/>
                          <w:szCs w:val="24"/>
                        </w:rPr>
                        <w:t>DTaP</w:t>
                      </w:r>
                      <w:proofErr w:type="spellEnd"/>
                      <w:r w:rsidRPr="003841E6">
                        <w:rPr>
                          <w:b/>
                          <w:bCs/>
                          <w:szCs w:val="24"/>
                        </w:rPr>
                        <w:t xml:space="preserve">-IPV/Hib are the same as they would be for any of its individual component vaccines.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3841E6">
                        <w:rPr>
                          <w:b/>
                          <w:bCs/>
                          <w:szCs w:val="24"/>
                        </w:rPr>
                        <w:t>Please refer to the package insert for a complete list of contraindications and precautions and to the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other</w:t>
                      </w:r>
                      <w:r w:rsidRPr="003841E6">
                        <w:rPr>
                          <w:b/>
                          <w:bCs/>
                          <w:szCs w:val="24"/>
                        </w:rPr>
                        <w:t xml:space="preserve"> immunization protocols for the individual component vaccines.</w:t>
                      </w:r>
                    </w:p>
                  </w:txbxContent>
                </v:textbox>
              </v:shape>
            </w:pict>
          </mc:Fallback>
        </mc:AlternateContent>
      </w:r>
    </w:p>
    <w:p w:rsidR="005E036D" w:rsidRDefault="005E036D" w:rsidP="005E036D">
      <w:pPr>
        <w:rPr>
          <w:szCs w:val="24"/>
        </w:rPr>
      </w:pPr>
    </w:p>
    <w:p w:rsidR="005E036D" w:rsidRDefault="005E036D" w:rsidP="005E036D">
      <w:pPr>
        <w:rPr>
          <w:szCs w:val="24"/>
        </w:rPr>
      </w:pPr>
    </w:p>
    <w:p w:rsidR="005E036D" w:rsidRDefault="005E036D" w:rsidP="005E036D">
      <w:pPr>
        <w:rPr>
          <w:szCs w:val="24"/>
        </w:rPr>
      </w:pPr>
    </w:p>
    <w:p w:rsidR="005E036D" w:rsidRDefault="005E036D" w:rsidP="005E036D">
      <w:pPr>
        <w:rPr>
          <w:szCs w:val="24"/>
        </w:rPr>
      </w:pPr>
    </w:p>
    <w:p w:rsidR="005E036D" w:rsidRDefault="005E036D" w:rsidP="005E036D">
      <w:pPr>
        <w:rPr>
          <w:szCs w:val="24"/>
        </w:rPr>
      </w:pPr>
    </w:p>
    <w:p w:rsidR="005E036D" w:rsidRDefault="005E036D" w:rsidP="005E036D">
      <w:pPr>
        <w:rPr>
          <w:szCs w:val="24"/>
        </w:rPr>
      </w:pPr>
    </w:p>
    <w:p w:rsidR="005E036D" w:rsidRPr="002D3E3D" w:rsidRDefault="005E036D" w:rsidP="005E036D">
      <w:pPr>
        <w:autoSpaceDE w:val="0"/>
        <w:autoSpaceDN w:val="0"/>
        <w:adjustRightInd w:val="0"/>
        <w:spacing w:before="60" w:after="6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Precautions</w:t>
      </w:r>
    </w:p>
    <w:p w:rsidR="005E036D" w:rsidRPr="002D3E3D" w:rsidRDefault="005E036D" w:rsidP="005E036D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before="60" w:after="60"/>
        <w:rPr>
          <w:szCs w:val="24"/>
        </w:rPr>
      </w:pPr>
      <w:r w:rsidRPr="002D3E3D">
        <w:rPr>
          <w:szCs w:val="24"/>
        </w:rPr>
        <w:t xml:space="preserve">Before administration, a patient’s health status and medical history </w:t>
      </w:r>
      <w:proofErr w:type="gramStart"/>
      <w:r w:rsidRPr="002D3E3D">
        <w:rPr>
          <w:szCs w:val="24"/>
        </w:rPr>
        <w:t>should be reviewed</w:t>
      </w:r>
      <w:proofErr w:type="gramEnd"/>
      <w:r w:rsidRPr="002D3E3D">
        <w:rPr>
          <w:szCs w:val="24"/>
        </w:rPr>
        <w:t xml:space="preserve"> to determine whether any contraindications exist and to assess the benefits and risks.</w:t>
      </w:r>
    </w:p>
    <w:p w:rsidR="005E036D" w:rsidRPr="002D3E3D" w:rsidRDefault="005E036D" w:rsidP="005E036D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before="60" w:after="60"/>
        <w:rPr>
          <w:szCs w:val="24"/>
        </w:rPr>
      </w:pPr>
      <w:r w:rsidRPr="002D3E3D">
        <w:rPr>
          <w:szCs w:val="24"/>
        </w:rPr>
        <w:t xml:space="preserve">For infants or children at higher risk for seizures than the general population an appropriate antipyretic </w:t>
      </w:r>
      <w:proofErr w:type="gramStart"/>
      <w:r w:rsidRPr="002D3E3D">
        <w:rPr>
          <w:szCs w:val="24"/>
        </w:rPr>
        <w:t>may be administered</w:t>
      </w:r>
      <w:proofErr w:type="gramEnd"/>
      <w:r w:rsidRPr="002D3E3D">
        <w:rPr>
          <w:szCs w:val="24"/>
        </w:rPr>
        <w:t xml:space="preserve"> at the time of vaccination of any acellular pertussis containing vaccine, including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>, and for the following 24 hours.</w:t>
      </w:r>
    </w:p>
    <w:p w:rsidR="005E036D" w:rsidRPr="002D3E3D" w:rsidRDefault="005E036D" w:rsidP="005E036D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before="60" w:after="60"/>
        <w:ind w:left="720"/>
        <w:rPr>
          <w:szCs w:val="24"/>
        </w:rPr>
      </w:pPr>
      <w:r w:rsidRPr="002D3E3D">
        <w:rPr>
          <w:szCs w:val="24"/>
        </w:rPr>
        <w:t xml:space="preserve">If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is administered to immunocompromised persons, including persons receiving immunosuppressive </w:t>
      </w:r>
      <w:proofErr w:type="gramStart"/>
      <w:r w:rsidRPr="002D3E3D">
        <w:rPr>
          <w:szCs w:val="24"/>
        </w:rPr>
        <w:t>therapy,</w:t>
      </w:r>
      <w:proofErr w:type="gramEnd"/>
      <w:r w:rsidRPr="002D3E3D">
        <w:rPr>
          <w:szCs w:val="24"/>
        </w:rPr>
        <w:t xml:space="preserve"> the expected immune response may not be obtained.</w:t>
      </w:r>
    </w:p>
    <w:p w:rsidR="005E036D" w:rsidRPr="002D3E3D" w:rsidRDefault="005E036D" w:rsidP="005E036D">
      <w:pPr>
        <w:tabs>
          <w:tab w:val="left" w:pos="3240"/>
        </w:tabs>
        <w:autoSpaceDE w:val="0"/>
        <w:autoSpaceDN w:val="0"/>
        <w:adjustRightInd w:val="0"/>
        <w:spacing w:after="120"/>
        <w:rPr>
          <w:b/>
          <w:szCs w:val="24"/>
          <w:u w:val="single"/>
        </w:rPr>
      </w:pPr>
    </w:p>
    <w:p w:rsidR="005E036D" w:rsidRPr="002D3E3D" w:rsidRDefault="005E036D" w:rsidP="005E036D">
      <w:pPr>
        <w:tabs>
          <w:tab w:val="left" w:pos="3240"/>
        </w:tabs>
        <w:autoSpaceDE w:val="0"/>
        <w:autoSpaceDN w:val="0"/>
        <w:adjustRightInd w:val="0"/>
        <w:spacing w:after="120"/>
        <w:rPr>
          <w:szCs w:val="24"/>
        </w:rPr>
      </w:pPr>
      <w:r w:rsidRPr="002D3E3D">
        <w:rPr>
          <w:b/>
          <w:szCs w:val="24"/>
          <w:u w:val="single"/>
        </w:rPr>
        <w:t xml:space="preserve">Contraindications to the Administration of </w:t>
      </w:r>
      <w:r>
        <w:rPr>
          <w:b/>
          <w:szCs w:val="24"/>
          <w:u w:val="single"/>
        </w:rPr>
        <w:t>PENTACEL</w:t>
      </w:r>
      <w:r w:rsidRPr="005E036D">
        <w:rPr>
          <w:b/>
          <w:szCs w:val="24"/>
          <w:u w:val="single"/>
          <w:vertAlign w:val="superscript"/>
        </w:rPr>
        <w:t>®</w:t>
      </w:r>
    </w:p>
    <w:p w:rsidR="005E036D" w:rsidRPr="002D3E3D" w:rsidRDefault="005E036D" w:rsidP="005E036D">
      <w:pPr>
        <w:numPr>
          <w:ilvl w:val="0"/>
          <w:numId w:val="2"/>
        </w:numPr>
        <w:tabs>
          <w:tab w:val="left" w:pos="3240"/>
        </w:tabs>
        <w:autoSpaceDE w:val="0"/>
        <w:autoSpaceDN w:val="0"/>
        <w:adjustRightInd w:val="0"/>
        <w:spacing w:before="60" w:after="60"/>
        <w:rPr>
          <w:szCs w:val="24"/>
        </w:rPr>
      </w:pPr>
      <w:r w:rsidRPr="002D3E3D">
        <w:rPr>
          <w:szCs w:val="24"/>
        </w:rPr>
        <w:t xml:space="preserve">A severe allergic reaction (e.g. anaphylaxis) after a previous dose of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vaccine, any ingredient of this vaccine, or any other tetanus toxoid, diphtheria toxoid, pertussis-containing vaccine, inactivated poliovirus vaccine or </w:t>
      </w:r>
      <w:r w:rsidRPr="002D3E3D">
        <w:rPr>
          <w:i/>
          <w:iCs/>
          <w:szCs w:val="24"/>
        </w:rPr>
        <w:t xml:space="preserve">H </w:t>
      </w:r>
      <w:proofErr w:type="spellStart"/>
      <w:r w:rsidRPr="002D3E3D">
        <w:rPr>
          <w:i/>
          <w:iCs/>
          <w:szCs w:val="24"/>
        </w:rPr>
        <w:t>influenzae</w:t>
      </w:r>
      <w:proofErr w:type="spellEnd"/>
      <w:r w:rsidRPr="002D3E3D">
        <w:rPr>
          <w:i/>
          <w:iCs/>
          <w:szCs w:val="24"/>
        </w:rPr>
        <w:t xml:space="preserve"> </w:t>
      </w:r>
      <w:r w:rsidRPr="002D3E3D">
        <w:rPr>
          <w:szCs w:val="24"/>
        </w:rPr>
        <w:t xml:space="preserve">type b vaccine (see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package insert)</w:t>
      </w:r>
    </w:p>
    <w:p w:rsidR="005E036D" w:rsidRPr="002D3E3D" w:rsidRDefault="005E036D" w:rsidP="005E036D">
      <w:pPr>
        <w:numPr>
          <w:ilvl w:val="0"/>
          <w:numId w:val="2"/>
        </w:numPr>
        <w:tabs>
          <w:tab w:val="left" w:pos="3240"/>
        </w:tabs>
        <w:autoSpaceDE w:val="0"/>
        <w:autoSpaceDN w:val="0"/>
        <w:adjustRightInd w:val="0"/>
        <w:spacing w:before="60" w:after="60"/>
        <w:rPr>
          <w:szCs w:val="24"/>
        </w:rPr>
      </w:pP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b/>
          <w:szCs w:val="24"/>
        </w:rPr>
        <w:t xml:space="preserve"> </w:t>
      </w:r>
      <w:r w:rsidRPr="002D3E3D">
        <w:rPr>
          <w:szCs w:val="24"/>
        </w:rPr>
        <w:t>vaccine is not recommended for persons before the age of 6 weeks or for those persons 5 years of age and older.</w:t>
      </w:r>
    </w:p>
    <w:p w:rsidR="005E036D" w:rsidRPr="002D3E3D" w:rsidRDefault="005E036D" w:rsidP="005E036D">
      <w:pPr>
        <w:numPr>
          <w:ilvl w:val="0"/>
          <w:numId w:val="2"/>
        </w:numPr>
        <w:tabs>
          <w:tab w:val="left" w:pos="3240"/>
        </w:tabs>
        <w:autoSpaceDE w:val="0"/>
        <w:autoSpaceDN w:val="0"/>
        <w:adjustRightInd w:val="0"/>
        <w:spacing w:before="60" w:after="60"/>
        <w:rPr>
          <w:szCs w:val="24"/>
        </w:rPr>
      </w:pPr>
      <w:r w:rsidRPr="002D3E3D">
        <w:rPr>
          <w:szCs w:val="24"/>
        </w:rPr>
        <w:t xml:space="preserve">The following medical events are contraindications to administration of any pertussis-containing vaccine, including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vaccine.</w:t>
      </w:r>
    </w:p>
    <w:p w:rsidR="005E036D" w:rsidRPr="002D3E3D" w:rsidRDefault="005E036D" w:rsidP="005E036D">
      <w:pPr>
        <w:numPr>
          <w:ilvl w:val="1"/>
          <w:numId w:val="2"/>
        </w:numPr>
        <w:autoSpaceDE w:val="0"/>
        <w:autoSpaceDN w:val="0"/>
        <w:adjustRightInd w:val="0"/>
        <w:spacing w:before="60" w:after="60"/>
        <w:ind w:right="288"/>
        <w:rPr>
          <w:szCs w:val="24"/>
        </w:rPr>
      </w:pPr>
      <w:r w:rsidRPr="002D3E3D">
        <w:rPr>
          <w:szCs w:val="24"/>
        </w:rPr>
        <w:t>Encephalopathy (e.g., coma, decreased level of consciousness, prolonged seizures) within 7 days of administration of a previous dose of a pertussis containing vaccine that is not attributable to another identifiable cause</w:t>
      </w:r>
    </w:p>
    <w:p w:rsidR="005E036D" w:rsidRPr="002D3E3D" w:rsidRDefault="005E036D" w:rsidP="005E036D">
      <w:pPr>
        <w:numPr>
          <w:ilvl w:val="1"/>
          <w:numId w:val="2"/>
        </w:numPr>
        <w:autoSpaceDE w:val="0"/>
        <w:autoSpaceDN w:val="0"/>
        <w:adjustRightInd w:val="0"/>
        <w:spacing w:before="60"/>
        <w:ind w:right="288"/>
        <w:rPr>
          <w:szCs w:val="24"/>
        </w:rPr>
      </w:pPr>
      <w:r w:rsidRPr="002D3E3D">
        <w:rPr>
          <w:szCs w:val="24"/>
        </w:rPr>
        <w:t xml:space="preserve">Progressive neurologic disorder, including infantile spasms, uncontrolled epilepsy, progressive encephalopathy.  Pertussis vaccine </w:t>
      </w:r>
      <w:proofErr w:type="gramStart"/>
      <w:r w:rsidRPr="002D3E3D">
        <w:rPr>
          <w:szCs w:val="24"/>
        </w:rPr>
        <w:t xml:space="preserve">should not be </w:t>
      </w:r>
      <w:r w:rsidRPr="002D3E3D">
        <w:rPr>
          <w:szCs w:val="24"/>
        </w:rPr>
        <w:lastRenderedPageBreak/>
        <w:t>administered</w:t>
      </w:r>
      <w:proofErr w:type="gramEnd"/>
      <w:r w:rsidRPr="002D3E3D">
        <w:rPr>
          <w:szCs w:val="24"/>
        </w:rPr>
        <w:t xml:space="preserve"> to individuals with such conditions until the neurologic status is clarified and stabilized.</w:t>
      </w:r>
    </w:p>
    <w:p w:rsidR="005E036D" w:rsidRPr="002D3E3D" w:rsidRDefault="005E036D" w:rsidP="005E036D">
      <w:pPr>
        <w:autoSpaceDE w:val="0"/>
        <w:autoSpaceDN w:val="0"/>
        <w:adjustRightInd w:val="0"/>
        <w:spacing w:before="60" w:after="60"/>
        <w:rPr>
          <w:b/>
          <w:szCs w:val="24"/>
          <w:u w:val="single"/>
        </w:rPr>
      </w:pPr>
    </w:p>
    <w:p w:rsidR="005E036D" w:rsidRDefault="005E036D" w:rsidP="005E036D">
      <w:pPr>
        <w:keepNext/>
        <w:keepLines/>
        <w:autoSpaceDE w:val="0"/>
        <w:autoSpaceDN w:val="0"/>
        <w:adjustRightInd w:val="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 xml:space="preserve">Adverse Events </w:t>
      </w:r>
    </w:p>
    <w:p w:rsidR="005E036D" w:rsidRDefault="005E036D" w:rsidP="005E036D">
      <w:pPr>
        <w:keepNext/>
        <w:keepLines/>
        <w:autoSpaceDE w:val="0"/>
        <w:autoSpaceDN w:val="0"/>
        <w:adjustRightInd w:val="0"/>
        <w:rPr>
          <w:szCs w:val="24"/>
        </w:rPr>
      </w:pPr>
    </w:p>
    <w:p w:rsidR="005E036D" w:rsidRPr="0074546F" w:rsidRDefault="005E036D" w:rsidP="005E036D">
      <w:pPr>
        <w:pStyle w:val="ListParagraph"/>
        <w:keepNext/>
        <w:keepLines/>
        <w:numPr>
          <w:ilvl w:val="0"/>
          <w:numId w:val="8"/>
        </w:numPr>
        <w:autoSpaceDE w:val="0"/>
        <w:autoSpaceDN w:val="0"/>
        <w:adjustRightInd w:val="0"/>
        <w:rPr>
          <w:b/>
          <w:szCs w:val="24"/>
          <w:u w:val="single"/>
        </w:rPr>
      </w:pPr>
      <w:r w:rsidRPr="0074546F">
        <w:rPr>
          <w:szCs w:val="24"/>
        </w:rPr>
        <w:t>See the product’s package insert</w:t>
      </w:r>
    </w:p>
    <w:p w:rsidR="005E036D" w:rsidRPr="004B5F3E" w:rsidRDefault="005E036D" w:rsidP="005E036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4B5F3E">
        <w:rPr>
          <w:sz w:val="22"/>
          <w:szCs w:val="22"/>
        </w:rPr>
        <w:t>See Adverse Events Following Vaccinations</w:t>
      </w:r>
      <w:r>
        <w:rPr>
          <w:sz w:val="22"/>
          <w:szCs w:val="22"/>
        </w:rPr>
        <w:t xml:space="preserve"> page of this section</w:t>
      </w:r>
    </w:p>
    <w:p w:rsidR="005E036D" w:rsidRDefault="005E036D" w:rsidP="005E036D">
      <w:pPr>
        <w:autoSpaceDE w:val="0"/>
        <w:autoSpaceDN w:val="0"/>
        <w:adjustRightInd w:val="0"/>
        <w:spacing w:before="60" w:after="60"/>
        <w:rPr>
          <w:b/>
          <w:szCs w:val="24"/>
          <w:u w:val="single"/>
        </w:rPr>
      </w:pPr>
    </w:p>
    <w:p w:rsidR="005E036D" w:rsidRPr="002D3E3D" w:rsidRDefault="005E036D" w:rsidP="005E036D">
      <w:pPr>
        <w:autoSpaceDE w:val="0"/>
        <w:autoSpaceDN w:val="0"/>
        <w:adjustRightInd w:val="0"/>
        <w:spacing w:before="60" w:after="6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Storage and Handling</w:t>
      </w:r>
    </w:p>
    <w:p w:rsidR="005E036D" w:rsidRPr="002D3E3D" w:rsidRDefault="005E036D" w:rsidP="005E036D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b/>
          <w:szCs w:val="24"/>
          <w:u w:val="single"/>
        </w:rPr>
      </w:pPr>
      <w:r w:rsidRPr="002D3E3D">
        <w:rPr>
          <w:szCs w:val="24"/>
        </w:rPr>
        <w:t>Store in refrigerator at 36</w:t>
      </w:r>
      <w:r w:rsidRPr="002D3E3D">
        <w:rPr>
          <w:szCs w:val="24"/>
          <w:vertAlign w:val="superscript"/>
        </w:rPr>
        <w:t>o</w:t>
      </w:r>
      <w:r w:rsidRPr="002D3E3D">
        <w:rPr>
          <w:szCs w:val="24"/>
        </w:rPr>
        <w:t>F</w:t>
      </w:r>
      <w:r w:rsidRPr="002D3E3D">
        <w:t xml:space="preserve"> – </w:t>
      </w:r>
      <w:r w:rsidRPr="002D3E3D">
        <w:rPr>
          <w:szCs w:val="24"/>
        </w:rPr>
        <w:t>46</w:t>
      </w:r>
      <w:r w:rsidRPr="002D3E3D">
        <w:rPr>
          <w:szCs w:val="24"/>
          <w:vertAlign w:val="superscript"/>
        </w:rPr>
        <w:t>o</w:t>
      </w:r>
      <w:r w:rsidRPr="002D3E3D">
        <w:rPr>
          <w:szCs w:val="24"/>
        </w:rPr>
        <w:t>F (2</w:t>
      </w:r>
      <w:r w:rsidRPr="002D3E3D">
        <w:rPr>
          <w:szCs w:val="24"/>
          <w:vertAlign w:val="superscript"/>
        </w:rPr>
        <w:t>o</w:t>
      </w:r>
      <w:r w:rsidRPr="002D3E3D">
        <w:rPr>
          <w:szCs w:val="24"/>
        </w:rPr>
        <w:t>C</w:t>
      </w:r>
      <w:r w:rsidRPr="002D3E3D">
        <w:t xml:space="preserve"> – </w:t>
      </w:r>
      <w:r w:rsidRPr="002D3E3D">
        <w:rPr>
          <w:szCs w:val="24"/>
        </w:rPr>
        <w:t>8</w:t>
      </w:r>
      <w:r w:rsidRPr="002D3E3D">
        <w:rPr>
          <w:szCs w:val="24"/>
          <w:vertAlign w:val="superscript"/>
        </w:rPr>
        <w:t>o</w:t>
      </w:r>
      <w:r w:rsidRPr="002D3E3D">
        <w:rPr>
          <w:szCs w:val="24"/>
        </w:rPr>
        <w:t>C)</w:t>
      </w:r>
    </w:p>
    <w:p w:rsidR="005E036D" w:rsidRPr="002D3E3D" w:rsidRDefault="005E036D" w:rsidP="005E036D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szCs w:val="24"/>
        </w:rPr>
      </w:pPr>
      <w:r w:rsidRPr="002D3E3D">
        <w:rPr>
          <w:szCs w:val="24"/>
        </w:rPr>
        <w:t xml:space="preserve">DO NOT FREEZE; discard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b/>
          <w:szCs w:val="24"/>
        </w:rPr>
        <w:t xml:space="preserve"> </w:t>
      </w:r>
      <w:r w:rsidRPr="002D3E3D">
        <w:rPr>
          <w:szCs w:val="24"/>
        </w:rPr>
        <w:t>vaccine that has been frozen</w:t>
      </w:r>
    </w:p>
    <w:p w:rsidR="005E036D" w:rsidRPr="002D3E3D" w:rsidRDefault="005E036D" w:rsidP="005E036D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b/>
          <w:szCs w:val="24"/>
          <w:u w:val="single"/>
        </w:rPr>
      </w:pP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szCs w:val="24"/>
        </w:rPr>
        <w:t xml:space="preserve"> vaccine should be used immediately after reconstitution</w:t>
      </w:r>
    </w:p>
    <w:p w:rsidR="005E036D" w:rsidRDefault="005E036D" w:rsidP="005E036D">
      <w:pPr>
        <w:autoSpaceDE w:val="0"/>
        <w:autoSpaceDN w:val="0"/>
        <w:adjustRightInd w:val="0"/>
        <w:spacing w:before="60" w:after="60"/>
        <w:rPr>
          <w:b/>
          <w:szCs w:val="24"/>
          <w:u w:val="single"/>
        </w:rPr>
      </w:pPr>
    </w:p>
    <w:p w:rsidR="005E036D" w:rsidRPr="002D3E3D" w:rsidRDefault="005E036D" w:rsidP="005E036D">
      <w:pPr>
        <w:autoSpaceDE w:val="0"/>
        <w:autoSpaceDN w:val="0"/>
        <w:adjustRightInd w:val="0"/>
        <w:spacing w:before="60" w:after="6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Additional Information:</w:t>
      </w:r>
    </w:p>
    <w:p w:rsidR="005E036D" w:rsidRPr="002D3E3D" w:rsidRDefault="005E036D" w:rsidP="005E036D">
      <w:pPr>
        <w:numPr>
          <w:ilvl w:val="0"/>
          <w:numId w:val="4"/>
        </w:numPr>
        <w:spacing w:before="100" w:beforeAutospacing="1" w:after="100" w:afterAutospacing="1"/>
        <w:rPr>
          <w:bCs/>
          <w:szCs w:val="24"/>
        </w:rPr>
      </w:pPr>
      <w:r w:rsidRPr="002D3E3D">
        <w:rPr>
          <w:szCs w:val="24"/>
        </w:rPr>
        <w:t xml:space="preserve">Vaccine Information Statements </w:t>
      </w:r>
      <w:r w:rsidRPr="002D3E3D">
        <w:rPr>
          <w:bCs/>
          <w:szCs w:val="24"/>
        </w:rPr>
        <w:t xml:space="preserve">(VIS) </w:t>
      </w:r>
      <w:r w:rsidRPr="002D3E3D">
        <w:rPr>
          <w:szCs w:val="24"/>
        </w:rPr>
        <w:t xml:space="preserve"> -- No</w:t>
      </w:r>
      <w:r w:rsidRPr="002D3E3D">
        <w:rPr>
          <w:bCs/>
          <w:szCs w:val="24"/>
        </w:rPr>
        <w:t xml:space="preserve"> specific VIS is available for </w:t>
      </w:r>
      <w:r>
        <w:rPr>
          <w:b/>
          <w:bCs/>
          <w:szCs w:val="24"/>
        </w:rPr>
        <w:t>PENTACEL</w:t>
      </w:r>
      <w:r w:rsidRPr="002D3E3D">
        <w:rPr>
          <w:bCs/>
          <w:szCs w:val="24"/>
          <w:vertAlign w:val="superscript"/>
        </w:rPr>
        <w:t>®</w:t>
      </w:r>
    </w:p>
    <w:p w:rsidR="005E036D" w:rsidRPr="002D3E3D" w:rsidRDefault="005E036D" w:rsidP="005E036D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bCs/>
          <w:szCs w:val="24"/>
        </w:rPr>
      </w:pPr>
      <w:r w:rsidRPr="002D3E3D">
        <w:rPr>
          <w:bCs/>
          <w:szCs w:val="24"/>
        </w:rPr>
        <w:t xml:space="preserve">CPT Code 90698 </w:t>
      </w:r>
    </w:p>
    <w:p w:rsidR="005E036D" w:rsidRPr="002D3E3D" w:rsidRDefault="005E036D" w:rsidP="005E036D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b/>
          <w:szCs w:val="24"/>
          <w:u w:val="single"/>
        </w:rPr>
      </w:pPr>
      <w:r w:rsidRPr="002D3E3D">
        <w:rPr>
          <w:b/>
          <w:szCs w:val="24"/>
        </w:rPr>
        <w:t xml:space="preserve">Concomitant Administration with Other Vaccines:  </w:t>
      </w:r>
      <w:r w:rsidRPr="002D3E3D">
        <w:rPr>
          <w:szCs w:val="24"/>
        </w:rPr>
        <w:t xml:space="preserve">In clinical trials (See package insert), </w:t>
      </w:r>
      <w:r>
        <w:rPr>
          <w:b/>
          <w:szCs w:val="24"/>
        </w:rPr>
        <w:t>PENTACEL</w:t>
      </w:r>
      <w:r w:rsidRPr="005E036D">
        <w:rPr>
          <w:b/>
          <w:szCs w:val="24"/>
          <w:vertAlign w:val="superscript"/>
        </w:rPr>
        <w:t>®</w:t>
      </w:r>
      <w:r w:rsidRPr="002D3E3D">
        <w:rPr>
          <w:b/>
          <w:szCs w:val="24"/>
        </w:rPr>
        <w:t xml:space="preserve"> </w:t>
      </w:r>
      <w:r w:rsidRPr="002D3E3D">
        <w:rPr>
          <w:szCs w:val="24"/>
        </w:rPr>
        <w:t xml:space="preserve">was administered concomitantly, at separate sites, with pneumococcal conjugate vaccine (PCV7), hepatitis B vaccine, measles, mumps, rubella (MMR) vaccine, and varicella vaccine.  </w:t>
      </w:r>
    </w:p>
    <w:p w:rsidR="005E036D" w:rsidRPr="002D3E3D" w:rsidRDefault="005E036D" w:rsidP="005E036D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b/>
          <w:szCs w:val="24"/>
          <w:u w:val="single"/>
        </w:rPr>
      </w:pPr>
      <w:r w:rsidRPr="002D3E3D">
        <w:rPr>
          <w:rFonts w:ascii="Times New Roman Bold"/>
          <w:b/>
          <w:szCs w:val="24"/>
        </w:rPr>
        <w:t xml:space="preserve">Different lot numbers for the different components of </w:t>
      </w:r>
      <w:proofErr w:type="spellStart"/>
      <w:r w:rsidRPr="002D3E3D">
        <w:rPr>
          <w:rFonts w:ascii="Times New Roman Bold"/>
          <w:b/>
          <w:szCs w:val="24"/>
        </w:rPr>
        <w:t>DTaP</w:t>
      </w:r>
      <w:proofErr w:type="spellEnd"/>
      <w:r w:rsidRPr="002D3E3D">
        <w:rPr>
          <w:rFonts w:ascii="Times New Roman Bold"/>
          <w:b/>
          <w:szCs w:val="24"/>
        </w:rPr>
        <w:t xml:space="preserve">-IPV/Hib are included on the </w:t>
      </w:r>
      <w:proofErr w:type="spellStart"/>
      <w:r w:rsidRPr="002D3E3D">
        <w:rPr>
          <w:rFonts w:ascii="Times New Roman Bold"/>
          <w:b/>
          <w:szCs w:val="24"/>
        </w:rPr>
        <w:t>DTaP</w:t>
      </w:r>
      <w:proofErr w:type="spellEnd"/>
      <w:r w:rsidRPr="002D3E3D">
        <w:rPr>
          <w:rFonts w:ascii="Times New Roman Bold"/>
          <w:b/>
          <w:szCs w:val="24"/>
        </w:rPr>
        <w:t xml:space="preserve">-IPV vial and on the Hib powder vial.  Providers should record lot numbers separately for the </w:t>
      </w:r>
      <w:proofErr w:type="spellStart"/>
      <w:r w:rsidRPr="002D3E3D">
        <w:rPr>
          <w:rFonts w:ascii="Times New Roman Bold"/>
          <w:b/>
          <w:szCs w:val="24"/>
        </w:rPr>
        <w:t>DTaP</w:t>
      </w:r>
      <w:proofErr w:type="spellEnd"/>
      <w:r w:rsidRPr="002D3E3D">
        <w:rPr>
          <w:rFonts w:ascii="Times New Roman Bold"/>
          <w:b/>
          <w:szCs w:val="24"/>
        </w:rPr>
        <w:t>-IPV and Hib components, as stated in the MMWR dated October 3, 2008.</w:t>
      </w:r>
    </w:p>
    <w:p w:rsidR="005E036D" w:rsidRPr="002D3E3D" w:rsidRDefault="005E036D" w:rsidP="005E036D">
      <w:pPr>
        <w:autoSpaceDE w:val="0"/>
        <w:autoSpaceDN w:val="0"/>
        <w:adjustRightInd w:val="0"/>
        <w:spacing w:before="60" w:after="60"/>
        <w:rPr>
          <w:bCs/>
          <w:szCs w:val="24"/>
        </w:rPr>
      </w:pPr>
    </w:p>
    <w:p w:rsidR="005E036D" w:rsidRDefault="005E036D" w:rsidP="005E036D">
      <w:pPr>
        <w:autoSpaceDE w:val="0"/>
        <w:autoSpaceDN w:val="0"/>
        <w:adjustRightInd w:val="0"/>
      </w:pPr>
    </w:p>
    <w:p w:rsidR="00F25F63" w:rsidRDefault="005E036D" w:rsidP="005E036D">
      <w:r>
        <w:t>Last updated October 1, 2009 and August 1, 2012</w:t>
      </w:r>
    </w:p>
    <w:sectPr w:rsidR="00F25F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37" w:rsidRDefault="00125437" w:rsidP="005E036D">
      <w:r>
        <w:separator/>
      </w:r>
    </w:p>
  </w:endnote>
  <w:endnote w:type="continuationSeparator" w:id="0">
    <w:p w:rsidR="00125437" w:rsidRDefault="00125437" w:rsidP="005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ceanSansForAventi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6D" w:rsidRDefault="005E036D">
    <w:pPr>
      <w:pStyle w:val="Footer"/>
      <w:jc w:val="center"/>
      <w:rPr>
        <w:color w:val="auto"/>
        <w:sz w:val="16"/>
        <w:szCs w:val="16"/>
      </w:rPr>
    </w:pPr>
    <w:r w:rsidRPr="005E036D">
      <w:rPr>
        <w:color w:val="auto"/>
        <w:sz w:val="16"/>
        <w:szCs w:val="16"/>
      </w:rPr>
      <w:t xml:space="preserve">Page </w:t>
    </w:r>
    <w:r w:rsidRPr="005E036D">
      <w:rPr>
        <w:color w:val="auto"/>
        <w:sz w:val="16"/>
        <w:szCs w:val="16"/>
      </w:rPr>
      <w:fldChar w:fldCharType="begin"/>
    </w:r>
    <w:r w:rsidRPr="005E036D">
      <w:rPr>
        <w:color w:val="auto"/>
        <w:sz w:val="16"/>
        <w:szCs w:val="16"/>
      </w:rPr>
      <w:instrText xml:space="preserve"> PAGE  \* Arabic  \* MERGEFORMAT </w:instrText>
    </w:r>
    <w:r w:rsidRPr="005E036D">
      <w:rPr>
        <w:color w:val="auto"/>
        <w:sz w:val="16"/>
        <w:szCs w:val="16"/>
      </w:rPr>
      <w:fldChar w:fldCharType="separate"/>
    </w:r>
    <w:r w:rsidR="00352FF9">
      <w:rPr>
        <w:noProof/>
        <w:color w:val="auto"/>
        <w:sz w:val="16"/>
        <w:szCs w:val="16"/>
      </w:rPr>
      <w:t>5</w:t>
    </w:r>
    <w:r w:rsidRPr="005E036D">
      <w:rPr>
        <w:color w:val="auto"/>
        <w:sz w:val="16"/>
        <w:szCs w:val="16"/>
      </w:rPr>
      <w:fldChar w:fldCharType="end"/>
    </w:r>
    <w:r w:rsidRPr="005E036D">
      <w:rPr>
        <w:color w:val="auto"/>
        <w:sz w:val="16"/>
        <w:szCs w:val="16"/>
      </w:rPr>
      <w:t xml:space="preserve"> of </w:t>
    </w:r>
    <w:r w:rsidRPr="005E036D">
      <w:rPr>
        <w:color w:val="auto"/>
        <w:sz w:val="16"/>
        <w:szCs w:val="16"/>
      </w:rPr>
      <w:fldChar w:fldCharType="begin"/>
    </w:r>
    <w:r w:rsidRPr="005E036D">
      <w:rPr>
        <w:color w:val="auto"/>
        <w:sz w:val="16"/>
        <w:szCs w:val="16"/>
      </w:rPr>
      <w:instrText xml:space="preserve"> NUMPAGES  \* Arabic  \* MERGEFORMAT </w:instrText>
    </w:r>
    <w:r w:rsidRPr="005E036D">
      <w:rPr>
        <w:color w:val="auto"/>
        <w:sz w:val="16"/>
        <w:szCs w:val="16"/>
      </w:rPr>
      <w:fldChar w:fldCharType="separate"/>
    </w:r>
    <w:r w:rsidR="00352FF9">
      <w:rPr>
        <w:noProof/>
        <w:color w:val="auto"/>
        <w:sz w:val="16"/>
        <w:szCs w:val="16"/>
      </w:rPr>
      <w:t>5</w:t>
    </w:r>
    <w:r w:rsidRPr="005E036D">
      <w:rPr>
        <w:color w:val="auto"/>
        <w:sz w:val="16"/>
        <w:szCs w:val="16"/>
      </w:rPr>
      <w:fldChar w:fldCharType="end"/>
    </w:r>
  </w:p>
  <w:p w:rsidR="005E036D" w:rsidRDefault="005E036D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5E036D" w:rsidRDefault="005E036D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 xml:space="preserve">Section:  Immunizations – (H) – </w:t>
    </w:r>
    <w:proofErr w:type="spellStart"/>
    <w:r>
      <w:rPr>
        <w:color w:val="auto"/>
        <w:sz w:val="16"/>
        <w:szCs w:val="16"/>
      </w:rPr>
      <w:t>DTaP</w:t>
    </w:r>
    <w:proofErr w:type="spellEnd"/>
    <w:r>
      <w:rPr>
        <w:color w:val="auto"/>
        <w:sz w:val="16"/>
        <w:szCs w:val="16"/>
      </w:rPr>
      <w:t>-IPV/Hib (PENTACEL)</w:t>
    </w:r>
  </w:p>
  <w:p w:rsidR="005E036D" w:rsidRPr="005E036D" w:rsidRDefault="005E036D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5E036D" w:rsidRDefault="005E0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37" w:rsidRDefault="00125437" w:rsidP="005E036D">
      <w:r>
        <w:separator/>
      </w:r>
    </w:p>
  </w:footnote>
  <w:footnote w:type="continuationSeparator" w:id="0">
    <w:p w:rsidR="00125437" w:rsidRDefault="00125437" w:rsidP="005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DE3"/>
    <w:multiLevelType w:val="hybridMultilevel"/>
    <w:tmpl w:val="A4861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9D"/>
    <w:multiLevelType w:val="hybridMultilevel"/>
    <w:tmpl w:val="294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6FF8"/>
    <w:multiLevelType w:val="hybridMultilevel"/>
    <w:tmpl w:val="6F0EC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36FE"/>
    <w:multiLevelType w:val="hybridMultilevel"/>
    <w:tmpl w:val="E182E69E"/>
    <w:lvl w:ilvl="0" w:tplc="F3C46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A4AA3"/>
    <w:multiLevelType w:val="hybridMultilevel"/>
    <w:tmpl w:val="37BEC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8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D932BF0"/>
    <w:multiLevelType w:val="hybridMultilevel"/>
    <w:tmpl w:val="B49EB124"/>
    <w:lvl w:ilvl="0" w:tplc="206C4D5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E6F3841"/>
    <w:multiLevelType w:val="hybridMultilevel"/>
    <w:tmpl w:val="751C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8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08"/>
    <w:rsid w:val="00125437"/>
    <w:rsid w:val="00352FF9"/>
    <w:rsid w:val="004A6808"/>
    <w:rsid w:val="005E036D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5B38"/>
  <w15:chartTrackingRefBased/>
  <w15:docId w15:val="{D920527F-F866-4B81-B198-249024B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36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36D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EC881030-0675-45FB-A686-E73562126FA0}"/>
</file>

<file path=customXml/itemProps2.xml><?xml version="1.0" encoding="utf-8"?>
<ds:datastoreItem xmlns:ds="http://schemas.openxmlformats.org/officeDocument/2006/customXml" ds:itemID="{B2AA8A1F-4D99-4BBD-87F4-B6DCA9EE587A}"/>
</file>

<file path=customXml/itemProps3.xml><?xml version="1.0" encoding="utf-8"?>
<ds:datastoreItem xmlns:ds="http://schemas.openxmlformats.org/officeDocument/2006/customXml" ds:itemID="{5C0DC7C5-499D-4915-922C-958325CFF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(H) - DTaP-IPV-Hib (PENTACEL)</dc:title>
  <dc:subject/>
  <dc:creator>Cunningham, Troi (CHFS PH EPI)</dc:creator>
  <cp:keywords/>
  <dc:description/>
  <cp:lastModifiedBy>Cunningham, Troi (CHFS PH EPI)</cp:lastModifiedBy>
  <cp:revision>2</cp:revision>
  <dcterms:created xsi:type="dcterms:W3CDTF">2018-06-29T16:40:00Z</dcterms:created>
  <dcterms:modified xsi:type="dcterms:W3CDTF">2018-06-29T16:52:00Z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