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58" w:rsidRPr="00D52458" w:rsidRDefault="00D52458" w:rsidP="00D52458">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D52458">
        <w:rPr>
          <w:rFonts w:ascii="Times New Roman" w:eastAsia="Times New Roman" w:hAnsi="Times New Roman" w:cs="Times New Roman"/>
          <w:b/>
          <w:color w:val="000000"/>
          <w:sz w:val="28"/>
          <w:szCs w:val="28"/>
        </w:rPr>
        <w:t>Hepatitis B (</w:t>
      </w:r>
      <w:proofErr w:type="spellStart"/>
      <w:r w:rsidRPr="00D52458">
        <w:rPr>
          <w:rFonts w:ascii="Times New Roman" w:eastAsia="Times New Roman" w:hAnsi="Times New Roman" w:cs="Times New Roman"/>
          <w:b/>
          <w:color w:val="000000"/>
          <w:sz w:val="28"/>
          <w:szCs w:val="28"/>
        </w:rPr>
        <w:t>HepB</w:t>
      </w:r>
      <w:proofErr w:type="spellEnd"/>
      <w:r w:rsidRPr="00D52458">
        <w:rPr>
          <w:rFonts w:ascii="Times New Roman" w:eastAsia="Times New Roman" w:hAnsi="Times New Roman" w:cs="Times New Roman"/>
          <w:b/>
          <w:color w:val="000000"/>
          <w:sz w:val="28"/>
          <w:szCs w:val="28"/>
        </w:rPr>
        <w:t>) Vaccine (Recombinant)</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t>Precautions and Contraindications</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Screen all patients for precautions and contraindications to immunization.</w:t>
      </w:r>
    </w:p>
    <w:p w:rsidR="00D52458" w:rsidRPr="00D52458" w:rsidRDefault="00D52458" w:rsidP="00D52458">
      <w:pPr>
        <w:widowControl w:val="0"/>
        <w:spacing w:after="0" w:line="240" w:lineRule="auto"/>
        <w:rPr>
          <w:rFonts w:ascii="Times New Roman" w:eastAsia="Times New Roman" w:hAnsi="Times New Roman" w:cs="Times New Roman"/>
          <w:b/>
          <w:bCs/>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t xml:space="preserve">Indications </w:t>
      </w:r>
    </w:p>
    <w:p w:rsidR="00D52458" w:rsidRPr="00D52458" w:rsidRDefault="00D52458" w:rsidP="00D52458">
      <w:pPr>
        <w:autoSpaceDE w:val="0"/>
        <w:autoSpaceDN w:val="0"/>
        <w:adjustRightInd w:val="0"/>
        <w:spacing w:after="0" w:line="240" w:lineRule="auto"/>
        <w:rPr>
          <w:rFonts w:ascii="Times New Roman Bold" w:eastAsia="Times New Roman" w:hAnsi="Times New Roman" w:cs="Times New Roman"/>
          <w:b/>
          <w:color w:val="000000"/>
          <w:sz w:val="24"/>
          <w:szCs w:val="20"/>
          <w:u w:val="single"/>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Hepatitis B vaccination </w:t>
      </w:r>
      <w:proofErr w:type="gramStart"/>
      <w:r w:rsidRPr="00D52458">
        <w:rPr>
          <w:rFonts w:ascii="Times New Roman" w:eastAsia="Times New Roman" w:hAnsi="Times New Roman" w:cs="Times New Roman"/>
          <w:color w:val="000000"/>
          <w:sz w:val="24"/>
          <w:szCs w:val="24"/>
        </w:rPr>
        <w:t>is indicated</w:t>
      </w:r>
      <w:proofErr w:type="gramEnd"/>
      <w:r w:rsidRPr="00D52458">
        <w:rPr>
          <w:rFonts w:ascii="Times New Roman" w:eastAsia="Times New Roman" w:hAnsi="Times New Roman" w:cs="Times New Roman"/>
          <w:color w:val="000000"/>
          <w:sz w:val="24"/>
          <w:szCs w:val="24"/>
        </w:rPr>
        <w:t xml:space="preserve"> for the following eligible groups for active immunization against infection caused by all known subtypes of hepatitis B virus (HBV):</w:t>
      </w:r>
      <w:r w:rsidRPr="00D52458">
        <w:rPr>
          <w:rFonts w:ascii="Times New Roman" w:eastAsia="Times New Roman" w:hAnsi="Times New Roman" w:cs="Times New Roman"/>
          <w:color w:val="000000"/>
          <w:sz w:val="24"/>
          <w:szCs w:val="24"/>
        </w:rPr>
        <w:br/>
      </w:r>
    </w:p>
    <w:p w:rsidR="00D52458" w:rsidRPr="00D52458" w:rsidRDefault="00D52458" w:rsidP="00D52458">
      <w:pPr>
        <w:numPr>
          <w:ilvl w:val="0"/>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All infants, children, and adolescents as part of the routine infant, child, and adolescent immunization schedule</w:t>
      </w:r>
    </w:p>
    <w:p w:rsidR="00D52458" w:rsidRPr="00D52458" w:rsidRDefault="00D52458" w:rsidP="00D52458">
      <w:pPr>
        <w:numPr>
          <w:ilvl w:val="0"/>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Catch-up vaccination of unvaccinated children aged 4 months through 18 years </w:t>
      </w:r>
    </w:p>
    <w:p w:rsidR="00D52458" w:rsidRPr="00D52458" w:rsidRDefault="00D52458" w:rsidP="00D52458">
      <w:pPr>
        <w:numPr>
          <w:ilvl w:val="0"/>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Persons at risk for infection by sexual exposure</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Sex partners of hepatitis B surface antigen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)-positive persons</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Sexually active persons who are not in a long-term mutually monogamous relationship (e.g., persons with more than one sex partner during the previous 6 months) </w:t>
      </w:r>
    </w:p>
    <w:p w:rsidR="00D52458" w:rsidRPr="00D52458" w:rsidRDefault="00D52458" w:rsidP="00D52458">
      <w:pPr>
        <w:numPr>
          <w:ilvl w:val="1"/>
          <w:numId w:val="1"/>
        </w:numPr>
        <w:autoSpaceDE w:val="0"/>
        <w:autoSpaceDN w:val="0"/>
        <w:adjustRightInd w:val="0"/>
        <w:spacing w:before="60" w:after="60" w:line="240" w:lineRule="auto"/>
        <w:ind w:left="1368"/>
        <w:rPr>
          <w:rFonts w:ascii="IOPHB I+ A Garamond" w:eastAsia="Times New Roman" w:hAnsi="IOPHB I+ A Garamond" w:cs="IOPHB I+ A Garamond"/>
          <w:color w:val="000000"/>
          <w:sz w:val="24"/>
          <w:szCs w:val="24"/>
        </w:rPr>
      </w:pPr>
      <w:r w:rsidRPr="00D52458">
        <w:rPr>
          <w:rFonts w:ascii="Times New Roman" w:eastAsia="Times New Roman" w:hAnsi="Times New Roman" w:cs="Times New Roman"/>
          <w:color w:val="000000"/>
          <w:sz w:val="24"/>
          <w:szCs w:val="24"/>
        </w:rPr>
        <w:t xml:space="preserve">Persons seeking evaluation or treatment for a sexually transmitted infection </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Men who have sex with men</w:t>
      </w:r>
    </w:p>
    <w:p w:rsidR="00D52458" w:rsidRPr="00D52458" w:rsidRDefault="00D52458" w:rsidP="00D52458">
      <w:pPr>
        <w:numPr>
          <w:ilvl w:val="0"/>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Persons at risk for infection by percutaneous or mucosal exposure to blood</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Current or recent injection-drug users</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Household contacts of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-positive persons</w:t>
      </w:r>
    </w:p>
    <w:p w:rsidR="00D52458" w:rsidRPr="00D52458" w:rsidRDefault="00D52458" w:rsidP="00D52458">
      <w:pPr>
        <w:keepNext/>
        <w:keepLines/>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bCs/>
          <w:color w:val="000000"/>
          <w:sz w:val="24"/>
          <w:szCs w:val="24"/>
        </w:rPr>
        <w:t xml:space="preserve">Residents and staff of facilities for developmentally disabled persons.  </w:t>
      </w:r>
    </w:p>
    <w:p w:rsidR="00D52458" w:rsidRPr="00D52458" w:rsidRDefault="00D52458" w:rsidP="00D52458">
      <w:pPr>
        <w:keepNext/>
        <w:keepLines/>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bCs/>
          <w:color w:val="000000"/>
          <w:sz w:val="24"/>
          <w:szCs w:val="24"/>
        </w:rPr>
        <w:t xml:space="preserve">Health care and public safety personnel with reasonably anticipated risk for exposure to blood or blood-contaminated body fluids.  </w:t>
      </w:r>
    </w:p>
    <w:p w:rsidR="00D52458" w:rsidRPr="00D52458" w:rsidRDefault="00D52458" w:rsidP="00D52458">
      <w:pPr>
        <w:numPr>
          <w:ilvl w:val="1"/>
          <w:numId w:val="1"/>
        </w:numPr>
        <w:spacing w:after="0" w:line="240" w:lineRule="auto"/>
        <w:ind w:left="1368"/>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Hemodialysis patients and </w:t>
      </w:r>
      <w:proofErr w:type="spellStart"/>
      <w:r w:rsidRPr="00D52458">
        <w:rPr>
          <w:rFonts w:ascii="Times New Roman" w:eastAsia="Times New Roman" w:hAnsi="Times New Roman" w:cs="Times New Roman"/>
          <w:color w:val="000000"/>
          <w:sz w:val="24"/>
          <w:szCs w:val="24"/>
        </w:rPr>
        <w:t>predialysis</w:t>
      </w:r>
      <w:proofErr w:type="spellEnd"/>
      <w:r w:rsidRPr="00D52458">
        <w:rPr>
          <w:rFonts w:ascii="Times New Roman" w:eastAsia="Times New Roman" w:hAnsi="Times New Roman" w:cs="Times New Roman"/>
          <w:color w:val="000000"/>
          <w:sz w:val="24"/>
          <w:szCs w:val="24"/>
        </w:rPr>
        <w:t xml:space="preserve">, peritoneal dialysis, and home dialysis patients </w:t>
      </w:r>
    </w:p>
    <w:p w:rsidR="00D52458" w:rsidRPr="00D52458" w:rsidRDefault="00D52458" w:rsidP="00D52458">
      <w:pPr>
        <w:numPr>
          <w:ilvl w:val="1"/>
          <w:numId w:val="1"/>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Persons with diabetes aged 19 through 59 years; </w:t>
      </w:r>
    </w:p>
    <w:p w:rsidR="00D52458" w:rsidRPr="00D52458" w:rsidRDefault="00D52458" w:rsidP="00D52458">
      <w:pPr>
        <w:numPr>
          <w:ilvl w:val="0"/>
          <w:numId w:val="3"/>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Persons with diabetes aged 60 years and older at the discretion of the treating clinician or medical provider.  </w:t>
      </w:r>
      <w:proofErr w:type="gramStart"/>
      <w:r w:rsidRPr="00D52458">
        <w:rPr>
          <w:rFonts w:ascii="Times New Roman" w:eastAsia="Times New Roman" w:hAnsi="Times New Roman" w:cs="Times New Roman"/>
          <w:color w:val="000000"/>
          <w:sz w:val="24"/>
          <w:szCs w:val="24"/>
        </w:rPr>
        <w:t>Decisions to vaccinate these adults should incorporate consideration of the patient’s likelihood of acquiring HBV infection, including the risk posed by an increased need for assisted blood-glucose monitoring in long term care facilities, the likelihood of experiencing chronic sequelae if infected with HBV, and the declining immunologic responses to vaccines that are associated with frailty, a geriatric syndrome characterized by decreased physiologic reserve and increased vulnerability, leading to early mortality in older adults.</w:t>
      </w:r>
      <w:proofErr w:type="gramEnd"/>
      <w:r w:rsidRPr="00D52458">
        <w:rPr>
          <w:rFonts w:ascii="Times New Roman" w:eastAsia="Times New Roman" w:hAnsi="Times New Roman" w:cs="Times New Roman"/>
          <w:color w:val="000000"/>
          <w:sz w:val="24"/>
          <w:szCs w:val="24"/>
        </w:rPr>
        <w:t xml:space="preserve"> </w:t>
      </w:r>
    </w:p>
    <w:p w:rsidR="00D52458" w:rsidRPr="00D52458" w:rsidRDefault="00D52458" w:rsidP="00D52458">
      <w:pPr>
        <w:numPr>
          <w:ilvl w:val="1"/>
          <w:numId w:val="15"/>
        </w:numPr>
        <w:autoSpaceDE w:val="0"/>
        <w:autoSpaceDN w:val="0"/>
        <w:adjustRightInd w:val="0"/>
        <w:spacing w:before="60" w:after="60" w:line="240" w:lineRule="auto"/>
        <w:ind w:left="208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When a medical provider sends an order to a Local Health Department (LHD) or gives a prescription for </w:t>
      </w:r>
      <w:proofErr w:type="spellStart"/>
      <w:proofErr w:type="gramStart"/>
      <w:r w:rsidRPr="00D52458">
        <w:rPr>
          <w:rFonts w:ascii="Times New Roman" w:eastAsia="Times New Roman" w:hAnsi="Times New Roman" w:cs="Times New Roman"/>
          <w:color w:val="000000"/>
          <w:sz w:val="24"/>
          <w:szCs w:val="24"/>
        </w:rPr>
        <w:t>HepB</w:t>
      </w:r>
      <w:proofErr w:type="spellEnd"/>
      <w:proofErr w:type="gramEnd"/>
      <w:r w:rsidRPr="00D52458">
        <w:rPr>
          <w:rFonts w:ascii="Times New Roman" w:eastAsia="Times New Roman" w:hAnsi="Times New Roman" w:cs="Times New Roman"/>
          <w:color w:val="000000"/>
          <w:sz w:val="24"/>
          <w:szCs w:val="24"/>
        </w:rPr>
        <w:t xml:space="preserve"> vaccine to the adult diabetic patient aged 60 years and older, the vaccine may be administered.</w:t>
      </w:r>
    </w:p>
    <w:p w:rsidR="00D52458" w:rsidRPr="00D52458" w:rsidRDefault="00D52458" w:rsidP="00D52458">
      <w:pPr>
        <w:numPr>
          <w:ilvl w:val="1"/>
          <w:numId w:val="15"/>
        </w:numPr>
        <w:autoSpaceDE w:val="0"/>
        <w:autoSpaceDN w:val="0"/>
        <w:adjustRightInd w:val="0"/>
        <w:spacing w:before="60" w:after="60" w:line="240" w:lineRule="auto"/>
        <w:ind w:left="208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lastRenderedPageBreak/>
        <w:t xml:space="preserve">When a LHD nurse assesses that an adult diabetic patient aged 60 years and older meets criteria listed above, an order for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w:t>
      </w:r>
      <w:proofErr w:type="gramStart"/>
      <w:r w:rsidRPr="00D52458">
        <w:rPr>
          <w:rFonts w:ascii="Times New Roman" w:eastAsia="Times New Roman" w:hAnsi="Times New Roman" w:cs="Times New Roman"/>
          <w:color w:val="000000"/>
          <w:sz w:val="24"/>
          <w:szCs w:val="24"/>
        </w:rPr>
        <w:t>may be obtained</w:t>
      </w:r>
      <w:proofErr w:type="gramEnd"/>
      <w:r w:rsidRPr="00D52458">
        <w:rPr>
          <w:rFonts w:ascii="Times New Roman" w:eastAsia="Times New Roman" w:hAnsi="Times New Roman" w:cs="Times New Roman"/>
          <w:color w:val="000000"/>
          <w:sz w:val="24"/>
          <w:szCs w:val="24"/>
        </w:rPr>
        <w:t xml:space="preserve"> from the LHD medical provider or private medical provider.</w:t>
      </w:r>
    </w:p>
    <w:p w:rsidR="00D52458" w:rsidRPr="00D52458" w:rsidRDefault="00D52458" w:rsidP="00D52458">
      <w:pPr>
        <w:numPr>
          <w:ilvl w:val="0"/>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Others</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sidDel="00573D63">
        <w:rPr>
          <w:rFonts w:ascii="Times New Roman" w:eastAsia="Times New Roman" w:hAnsi="Times New Roman" w:cs="Times New Roman"/>
          <w:color w:val="000000"/>
          <w:sz w:val="24"/>
          <w:szCs w:val="24"/>
        </w:rPr>
        <w:t xml:space="preserve">International travelers to regions with high or intermediate levels of endemic HBV infection (i.e., </w:t>
      </w:r>
      <w:proofErr w:type="spellStart"/>
      <w:r w:rsidRPr="00D52458" w:rsidDel="00573D63">
        <w:rPr>
          <w:rFonts w:ascii="Times New Roman" w:eastAsia="Times New Roman" w:hAnsi="Times New Roman" w:cs="Times New Roman"/>
          <w:color w:val="000000"/>
          <w:sz w:val="24"/>
          <w:szCs w:val="24"/>
        </w:rPr>
        <w:t>HBsAg</w:t>
      </w:r>
      <w:proofErr w:type="spellEnd"/>
      <w:r w:rsidRPr="00D52458" w:rsidDel="00573D63">
        <w:rPr>
          <w:rFonts w:ascii="Times New Roman" w:eastAsia="Times New Roman" w:hAnsi="Times New Roman" w:cs="Times New Roman"/>
          <w:color w:val="000000"/>
          <w:sz w:val="24"/>
          <w:szCs w:val="24"/>
        </w:rPr>
        <w:t>-positive prevalence of 2% or greater)</w:t>
      </w:r>
      <w:r w:rsidRPr="00D52458">
        <w:rPr>
          <w:rFonts w:ascii="Times New Roman" w:eastAsia="Times New Roman" w:hAnsi="Times New Roman" w:cs="Times New Roman"/>
          <w:color w:val="000000"/>
          <w:sz w:val="24"/>
          <w:szCs w:val="24"/>
        </w:rPr>
        <w:t xml:space="preserve">.  See country specific travel recommendations for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on </w:t>
      </w:r>
      <w:proofErr w:type="gramStart"/>
      <w:r w:rsidRPr="00D52458">
        <w:rPr>
          <w:rFonts w:ascii="Times New Roman" w:eastAsia="Times New Roman" w:hAnsi="Times New Roman" w:cs="Times New Roman"/>
          <w:color w:val="000000"/>
          <w:sz w:val="24"/>
          <w:szCs w:val="24"/>
        </w:rPr>
        <w:t>CDC’s Travelers’</w:t>
      </w:r>
      <w:proofErr w:type="gramEnd"/>
      <w:r w:rsidRPr="00D52458">
        <w:rPr>
          <w:rFonts w:ascii="Times New Roman" w:eastAsia="Times New Roman" w:hAnsi="Times New Roman" w:cs="Times New Roman"/>
          <w:color w:val="000000"/>
          <w:sz w:val="24"/>
          <w:szCs w:val="24"/>
        </w:rPr>
        <w:t xml:space="preserve"> Health Website, </w:t>
      </w:r>
      <w:hyperlink r:id="rId7" w:history="1">
        <w:r w:rsidRPr="00D52458">
          <w:rPr>
            <w:rFonts w:ascii="Times New Roman" w:eastAsia="Times New Roman" w:hAnsi="Times New Roman" w:cs="Times New Roman"/>
            <w:color w:val="0000FF"/>
            <w:sz w:val="24"/>
            <w:szCs w:val="24"/>
            <w:u w:val="single"/>
          </w:rPr>
          <w:t>https://wwwnc.cdc.gov/trave</w:t>
        </w:r>
        <w:r w:rsidRPr="00D52458">
          <w:rPr>
            <w:rFonts w:ascii="Times New Roman" w:eastAsia="Times New Roman" w:hAnsi="Times New Roman" w:cs="Times New Roman"/>
            <w:color w:val="0000FF"/>
            <w:sz w:val="24"/>
            <w:szCs w:val="20"/>
            <w:u w:val="single"/>
          </w:rPr>
          <w:t>l</w:t>
        </w:r>
      </w:hyperlink>
      <w:r w:rsidRPr="00D52458">
        <w:rPr>
          <w:rFonts w:ascii="Times New Roman" w:eastAsia="Times New Roman" w:hAnsi="Times New Roman" w:cs="Times New Roman"/>
          <w:color w:val="000000"/>
          <w:sz w:val="24"/>
          <w:szCs w:val="24"/>
        </w:rPr>
        <w:t>.</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Persons with hepatitis C virus infection</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Persons with chronic liver disease (including, but not limited to, persons with cirrhosis, fatty liver disease, alcoholic liver disease, autoimmune hepatitis, and an alanine aminotransferase (ALT) or aspartate aminotransferase (AST) level greater than twice the upper limit of normal</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Persons with HIV infection</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Incarcerated persons</w:t>
      </w:r>
    </w:p>
    <w:p w:rsidR="00D52458" w:rsidRPr="00D52458" w:rsidRDefault="00D52458" w:rsidP="00D52458">
      <w:pPr>
        <w:numPr>
          <w:ilvl w:val="0"/>
          <w:numId w:val="16"/>
        </w:numPr>
        <w:autoSpaceDE w:val="0"/>
        <w:autoSpaceDN w:val="0"/>
        <w:adjustRightInd w:val="0"/>
        <w:spacing w:before="60" w:after="60" w:line="240" w:lineRule="auto"/>
        <w:ind w:left="1368"/>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color w:val="000000"/>
          <w:sz w:val="24"/>
          <w:szCs w:val="24"/>
        </w:rPr>
        <w:t>All other persons seeking protection from HBV infection</w:t>
      </w:r>
    </w:p>
    <w:p w:rsidR="00D52458" w:rsidRPr="00D52458" w:rsidRDefault="00D52458" w:rsidP="00D52458">
      <w:pPr>
        <w:autoSpaceDE w:val="0"/>
        <w:autoSpaceDN w:val="0"/>
        <w:adjustRightInd w:val="0"/>
        <w:spacing w:before="60" w:after="60" w:line="240" w:lineRule="auto"/>
        <w:rPr>
          <w:rFonts w:ascii="Times New Roman" w:eastAsia="Times New Roman" w:hAnsi="Times New Roman" w:cs="Times New Roman"/>
          <w:b/>
          <w:color w:val="000000"/>
          <w:sz w:val="24"/>
          <w:szCs w:val="20"/>
          <w:u w:val="single"/>
        </w:rPr>
      </w:pPr>
    </w:p>
    <w:p w:rsidR="00D52458" w:rsidRPr="00D52458" w:rsidRDefault="00D52458" w:rsidP="00D52458">
      <w:pPr>
        <w:autoSpaceDE w:val="0"/>
        <w:autoSpaceDN w:val="0"/>
        <w:adjustRightInd w:val="0"/>
        <w:spacing w:before="60" w:after="60" w:line="240" w:lineRule="auto"/>
        <w:rPr>
          <w:rFonts w:ascii="Times New Roman" w:eastAsia="Times New Roman" w:hAnsi="Times New Roman" w:cs="Times New Roman"/>
          <w:b/>
          <w:color w:val="000000"/>
          <w:sz w:val="24"/>
          <w:szCs w:val="20"/>
          <w:u w:val="single"/>
        </w:rPr>
      </w:pPr>
    </w:p>
    <w:p w:rsidR="00D52458" w:rsidRPr="00D52458" w:rsidRDefault="00D52458" w:rsidP="00D52458">
      <w:pPr>
        <w:autoSpaceDE w:val="0"/>
        <w:autoSpaceDN w:val="0"/>
        <w:adjustRightInd w:val="0"/>
        <w:spacing w:before="60" w:after="6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t>Recommended Schedule*</w:t>
      </w:r>
    </w:p>
    <w:p w:rsidR="00D52458" w:rsidRPr="00D52458" w:rsidRDefault="00D52458" w:rsidP="00D52458">
      <w:pPr>
        <w:keepNext/>
        <w:spacing w:after="0" w:line="240" w:lineRule="auto"/>
        <w:outlineLvl w:val="2"/>
        <w:rPr>
          <w:rFonts w:ascii="Times New Roman" w:eastAsia="Times New Roman" w:hAnsi="Times New Roman" w:cs="Times New Roman"/>
          <w:b/>
          <w:bCs/>
          <w:color w:val="000000"/>
          <w:sz w:val="24"/>
          <w:szCs w:val="24"/>
        </w:rPr>
      </w:pPr>
      <w:r w:rsidRPr="00D52458">
        <w:rPr>
          <w:rFonts w:ascii="Times New Roman" w:eastAsia="Times New Roman" w:hAnsi="Times New Roman" w:cs="Times New Roman"/>
          <w:b/>
          <w:bCs/>
          <w:color w:val="000000"/>
          <w:sz w:val="24"/>
          <w:szCs w:val="24"/>
        </w:rPr>
        <w:t>Hepatitis B Vaccination Schedule for Infants and Children Younger than 11 Years of Age (see Table on page 5 for additional dosing schedules)</w:t>
      </w:r>
    </w:p>
    <w:p w:rsidR="00D52458" w:rsidRPr="00D52458" w:rsidRDefault="00D52458" w:rsidP="00D52458">
      <w:pPr>
        <w:spacing w:after="0" w:line="240" w:lineRule="auto"/>
        <w:rPr>
          <w:rFonts w:ascii="Times New Roman" w:eastAsia="Times New Roman" w:hAnsi="Times New Roman" w:cs="Times New Roman"/>
          <w:color w:val="000000"/>
          <w:sz w:val="24"/>
          <w:szCs w:val="20"/>
        </w:rPr>
      </w:pPr>
    </w:p>
    <w:tbl>
      <w:tblPr>
        <w:tblW w:w="925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840"/>
        <w:gridCol w:w="1358"/>
        <w:gridCol w:w="2880"/>
        <w:gridCol w:w="4177"/>
      </w:tblGrid>
      <w:tr w:rsidR="00D52458" w:rsidRPr="00D52458" w:rsidTr="00761C75">
        <w:trPr>
          <w:trHeight w:val="1017"/>
          <w:jc w:val="center"/>
        </w:trPr>
        <w:tc>
          <w:tcPr>
            <w:tcW w:w="840" w:type="dxa"/>
            <w:tcBorders>
              <w:top w:val="double" w:sz="6" w:space="0" w:color="000000"/>
              <w:left w:val="double" w:sz="6" w:space="0" w:color="000000"/>
              <w:bottom w:val="single" w:sz="6" w:space="0" w:color="000000"/>
              <w:right w:val="single" w:sz="6" w:space="0" w:color="000000"/>
            </w:tcBorders>
            <w:shd w:val="clear" w:color="auto" w:fill="FFFFCC"/>
            <w:vAlign w:val="center"/>
          </w:tcPr>
          <w:p w:rsidR="00D52458" w:rsidRPr="00D52458" w:rsidRDefault="00D52458" w:rsidP="00D52458">
            <w:pPr>
              <w:spacing w:after="0" w:line="240" w:lineRule="auto"/>
              <w:jc w:val="center"/>
              <w:outlineLvl w:val="3"/>
              <w:rPr>
                <w:rFonts w:ascii="Times New Roman" w:eastAsia="Times New Roman" w:hAnsi="Times New Roman" w:cs="Times New Roman"/>
                <w:b/>
                <w:bCs/>
                <w:color w:val="000000"/>
                <w:sz w:val="24"/>
                <w:szCs w:val="20"/>
              </w:rPr>
            </w:pPr>
            <w:r w:rsidRPr="00D52458">
              <w:rPr>
                <w:rFonts w:ascii="Times New Roman" w:eastAsia="Times New Roman" w:hAnsi="Times New Roman" w:cs="Times New Roman"/>
                <w:b/>
                <w:bCs/>
                <w:color w:val="000000"/>
                <w:sz w:val="24"/>
                <w:szCs w:val="20"/>
              </w:rPr>
              <w:t>Dose</w:t>
            </w:r>
          </w:p>
        </w:tc>
        <w:tc>
          <w:tcPr>
            <w:tcW w:w="1358" w:type="dxa"/>
            <w:tcBorders>
              <w:top w:val="double" w:sz="6" w:space="0" w:color="000000"/>
              <w:left w:val="single" w:sz="6" w:space="0" w:color="000000"/>
              <w:bottom w:val="single" w:sz="6" w:space="0" w:color="000000"/>
              <w:right w:val="single" w:sz="6" w:space="0" w:color="000000"/>
            </w:tcBorders>
            <w:shd w:val="clear" w:color="auto" w:fill="FFFFCC"/>
            <w:vAlign w:val="center"/>
          </w:tcPr>
          <w:p w:rsidR="00D52458" w:rsidRPr="00D52458" w:rsidRDefault="00D52458" w:rsidP="00D524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t>Vaccine</w:t>
            </w:r>
          </w:p>
        </w:tc>
        <w:tc>
          <w:tcPr>
            <w:tcW w:w="2880" w:type="dxa"/>
            <w:tcBorders>
              <w:top w:val="double" w:sz="6" w:space="0" w:color="000000"/>
              <w:left w:val="single" w:sz="6" w:space="0" w:color="000000"/>
              <w:bottom w:val="single" w:sz="6" w:space="0" w:color="000000"/>
              <w:right w:val="single" w:sz="6" w:space="0" w:color="000000"/>
            </w:tcBorders>
            <w:shd w:val="clear" w:color="auto" w:fill="FFFFCC"/>
            <w:vAlign w:val="center"/>
          </w:tcPr>
          <w:p w:rsidR="00D52458" w:rsidRPr="00D52458" w:rsidRDefault="00D52458" w:rsidP="00D524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t>Recommended Age</w:t>
            </w:r>
          </w:p>
        </w:tc>
        <w:tc>
          <w:tcPr>
            <w:tcW w:w="4177" w:type="dxa"/>
            <w:tcBorders>
              <w:top w:val="double" w:sz="6" w:space="0" w:color="000000"/>
              <w:left w:val="single" w:sz="6" w:space="0" w:color="000000"/>
              <w:bottom w:val="single" w:sz="6" w:space="0" w:color="000000"/>
              <w:right w:val="double" w:sz="6" w:space="0" w:color="000000"/>
            </w:tcBorders>
            <w:shd w:val="clear" w:color="auto" w:fill="FFFFCC"/>
            <w:vAlign w:val="center"/>
          </w:tcPr>
          <w:p w:rsidR="00D52458" w:rsidRPr="00D52458" w:rsidRDefault="00D52458" w:rsidP="00D524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t xml:space="preserve">Schedule if the Birth Dose </w:t>
            </w:r>
            <w:r w:rsidRPr="00D52458">
              <w:rPr>
                <w:rFonts w:ascii="Times New Roman" w:eastAsia="Times New Roman" w:hAnsi="Times New Roman" w:cs="Times New Roman"/>
                <w:b/>
                <w:color w:val="000000"/>
                <w:sz w:val="24"/>
                <w:szCs w:val="20"/>
              </w:rPr>
              <w:br/>
              <w:t xml:space="preserve">WAS NOT Given or </w:t>
            </w:r>
            <w:r w:rsidRPr="00D52458">
              <w:rPr>
                <w:rFonts w:ascii="Times New Roman" w:eastAsia="Times New Roman" w:hAnsi="Times New Roman" w:cs="Times New Roman"/>
                <w:b/>
                <w:color w:val="000000"/>
                <w:sz w:val="24"/>
                <w:szCs w:val="20"/>
              </w:rPr>
              <w:br/>
              <w:t>Catch-up Schedule</w:t>
            </w:r>
          </w:p>
        </w:tc>
      </w:tr>
      <w:tr w:rsidR="00D52458" w:rsidRPr="00D52458" w:rsidTr="00761C75">
        <w:trPr>
          <w:trHeight w:val="732"/>
          <w:jc w:val="center"/>
        </w:trPr>
        <w:tc>
          <w:tcPr>
            <w:tcW w:w="840" w:type="dxa"/>
            <w:tcBorders>
              <w:top w:val="single" w:sz="6" w:space="0" w:color="000000"/>
              <w:left w:val="double" w:sz="6" w:space="0" w:color="000000"/>
              <w:bottom w:val="single" w:sz="6" w:space="0" w:color="000000"/>
              <w:right w:val="single" w:sz="6" w:space="0" w:color="000000"/>
            </w:tcBorders>
            <w:vAlign w:val="center"/>
          </w:tcPr>
          <w:p w:rsidR="00D52458" w:rsidRPr="00D52458" w:rsidRDefault="00D52458" w:rsidP="00D52458">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1</w:t>
            </w:r>
          </w:p>
        </w:tc>
        <w:tc>
          <w:tcPr>
            <w:tcW w:w="1358" w:type="dxa"/>
            <w:tcBorders>
              <w:top w:val="single" w:sz="6" w:space="0" w:color="000000"/>
              <w:left w:val="single" w:sz="6" w:space="0" w:color="000000"/>
              <w:bottom w:val="single" w:sz="6" w:space="0" w:color="000000"/>
              <w:right w:val="single" w:sz="6" w:space="0" w:color="000000"/>
            </w:tcBorders>
            <w:vAlign w:val="center"/>
          </w:tcPr>
          <w:p w:rsidR="00D52458" w:rsidRPr="00D52458" w:rsidRDefault="00D52458" w:rsidP="00D52458">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proofErr w:type="spellStart"/>
            <w:r w:rsidRPr="00D52458">
              <w:rPr>
                <w:rFonts w:ascii="Times New Roman" w:eastAsia="Times New Roman" w:hAnsi="Times New Roman" w:cs="Times New Roman"/>
                <w:color w:val="000000"/>
                <w:sz w:val="24"/>
                <w:szCs w:val="20"/>
              </w:rPr>
              <w:t>HepB</w:t>
            </w:r>
            <w:proofErr w:type="spellEnd"/>
          </w:p>
        </w:tc>
        <w:tc>
          <w:tcPr>
            <w:tcW w:w="2880" w:type="dxa"/>
            <w:tcBorders>
              <w:top w:val="single" w:sz="6" w:space="0" w:color="000000"/>
              <w:left w:val="single" w:sz="6" w:space="0" w:color="000000"/>
              <w:bottom w:val="single" w:sz="6" w:space="0" w:color="000000"/>
              <w:right w:val="single" w:sz="6" w:space="0" w:color="000000"/>
            </w:tcBorders>
            <w:vAlign w:val="center"/>
          </w:tcPr>
          <w:p w:rsidR="00D52458" w:rsidRPr="00D52458" w:rsidRDefault="00D52458" w:rsidP="00D52458">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Birth *</w:t>
            </w:r>
          </w:p>
        </w:tc>
        <w:tc>
          <w:tcPr>
            <w:tcW w:w="4177" w:type="dxa"/>
            <w:tcBorders>
              <w:top w:val="single" w:sz="6" w:space="0" w:color="000000"/>
              <w:left w:val="single" w:sz="6" w:space="0" w:color="000000"/>
              <w:bottom w:val="single" w:sz="6" w:space="0" w:color="000000"/>
              <w:right w:val="double" w:sz="6" w:space="0" w:color="000000"/>
            </w:tcBorders>
            <w:vAlign w:val="center"/>
          </w:tcPr>
          <w:p w:rsidR="00D52458" w:rsidRPr="00D52458" w:rsidRDefault="00D52458" w:rsidP="00D52458">
            <w:pPr>
              <w:widowControl w:val="0"/>
              <w:tabs>
                <w:tab w:val="center" w:pos="159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Birth (or elected date)</w:t>
            </w:r>
          </w:p>
        </w:tc>
      </w:tr>
      <w:tr w:rsidR="00D52458" w:rsidRPr="00D52458" w:rsidTr="00761C75">
        <w:trPr>
          <w:jc w:val="center"/>
        </w:trPr>
        <w:tc>
          <w:tcPr>
            <w:tcW w:w="840" w:type="dxa"/>
            <w:tcBorders>
              <w:top w:val="single" w:sz="6" w:space="0" w:color="000000"/>
              <w:left w:val="double" w:sz="6" w:space="0" w:color="000000"/>
              <w:bottom w:val="single" w:sz="6" w:space="0" w:color="000000"/>
              <w:right w:val="single" w:sz="6" w:space="0" w:color="000000"/>
            </w:tcBorders>
            <w:vAlign w:val="center"/>
          </w:tcPr>
          <w:p w:rsidR="00D52458" w:rsidRPr="00D52458" w:rsidRDefault="00D52458" w:rsidP="00D52458">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2</w:t>
            </w:r>
          </w:p>
        </w:tc>
        <w:tc>
          <w:tcPr>
            <w:tcW w:w="1358" w:type="dxa"/>
            <w:tcBorders>
              <w:top w:val="single" w:sz="6" w:space="0" w:color="000000"/>
              <w:left w:val="single" w:sz="6" w:space="0" w:color="000000"/>
              <w:bottom w:val="single" w:sz="6" w:space="0" w:color="000000"/>
              <w:right w:val="single" w:sz="6" w:space="0" w:color="000000"/>
            </w:tcBorders>
            <w:vAlign w:val="center"/>
          </w:tcPr>
          <w:p w:rsidR="00D52458" w:rsidRPr="00D52458" w:rsidRDefault="00D52458" w:rsidP="00D52458">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proofErr w:type="spellStart"/>
            <w:r w:rsidRPr="00D52458">
              <w:rPr>
                <w:rFonts w:ascii="Times New Roman" w:eastAsia="Times New Roman" w:hAnsi="Times New Roman" w:cs="Times New Roman"/>
                <w:color w:val="000000"/>
                <w:sz w:val="24"/>
                <w:szCs w:val="20"/>
              </w:rPr>
              <w:t>HepB</w:t>
            </w:r>
            <w:proofErr w:type="spellEnd"/>
          </w:p>
        </w:tc>
        <w:tc>
          <w:tcPr>
            <w:tcW w:w="2880" w:type="dxa"/>
            <w:tcBorders>
              <w:top w:val="single" w:sz="6" w:space="0" w:color="000000"/>
              <w:left w:val="single" w:sz="6" w:space="0" w:color="000000"/>
              <w:bottom w:val="single" w:sz="6" w:space="0" w:color="000000"/>
              <w:right w:val="single" w:sz="6" w:space="0" w:color="000000"/>
            </w:tcBorders>
            <w:vAlign w:val="center"/>
          </w:tcPr>
          <w:p w:rsidR="00D52458" w:rsidRPr="00D52458" w:rsidRDefault="00D52458" w:rsidP="00D52458">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1 to 2 months, at least four weeks after dose 1 </w:t>
            </w:r>
          </w:p>
        </w:tc>
        <w:tc>
          <w:tcPr>
            <w:tcW w:w="4177" w:type="dxa"/>
            <w:tcBorders>
              <w:top w:val="single" w:sz="6" w:space="0" w:color="000000"/>
              <w:left w:val="single" w:sz="6" w:space="0" w:color="000000"/>
              <w:bottom w:val="single" w:sz="6" w:space="0" w:color="000000"/>
              <w:right w:val="double" w:sz="6" w:space="0" w:color="000000"/>
            </w:tcBorders>
            <w:vAlign w:val="center"/>
          </w:tcPr>
          <w:p w:rsidR="00D52458" w:rsidRPr="00D52458" w:rsidRDefault="00D52458" w:rsidP="00D52458">
            <w:pPr>
              <w:keepNext/>
              <w:tabs>
                <w:tab w:val="center" w:pos="1590"/>
              </w:tabs>
              <w:spacing w:before="120" w:after="120" w:line="240" w:lineRule="auto"/>
              <w:outlineLvl w:val="1"/>
              <w:rPr>
                <w:rFonts w:ascii="Times New Roman" w:eastAsia="Times New Roman" w:hAnsi="Times New Roman" w:cs="Times New Roman"/>
                <w:b/>
                <w:bCs/>
                <w:color w:val="000000"/>
                <w:sz w:val="24"/>
                <w:szCs w:val="20"/>
              </w:rPr>
            </w:pPr>
            <w:r w:rsidRPr="00D52458">
              <w:rPr>
                <w:rFonts w:ascii="Times New Roman" w:eastAsia="Times New Roman" w:hAnsi="Times New Roman" w:cs="Times New Roman"/>
                <w:b/>
                <w:bCs/>
                <w:color w:val="000000"/>
                <w:sz w:val="24"/>
                <w:szCs w:val="20"/>
              </w:rPr>
              <w:t>4 weeks after #1 dose</w:t>
            </w:r>
          </w:p>
        </w:tc>
      </w:tr>
      <w:tr w:rsidR="00D52458" w:rsidRPr="00D52458" w:rsidTr="00761C75">
        <w:trPr>
          <w:trHeight w:val="1893"/>
          <w:jc w:val="center"/>
        </w:trPr>
        <w:tc>
          <w:tcPr>
            <w:tcW w:w="840" w:type="dxa"/>
            <w:tcBorders>
              <w:top w:val="single" w:sz="6" w:space="0" w:color="000000"/>
              <w:left w:val="double" w:sz="6" w:space="0" w:color="000000"/>
              <w:bottom w:val="double" w:sz="6" w:space="0" w:color="000000"/>
              <w:right w:val="single" w:sz="6" w:space="0" w:color="000000"/>
            </w:tcBorders>
            <w:vAlign w:val="center"/>
          </w:tcPr>
          <w:p w:rsidR="00D52458" w:rsidRPr="00D52458" w:rsidRDefault="00D52458" w:rsidP="00D52458">
            <w:pPr>
              <w:widowControl w:val="0"/>
              <w:tabs>
                <w:tab w:val="center" w:pos="60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3</w:t>
            </w:r>
          </w:p>
        </w:tc>
        <w:tc>
          <w:tcPr>
            <w:tcW w:w="1358" w:type="dxa"/>
            <w:tcBorders>
              <w:top w:val="single" w:sz="6" w:space="0" w:color="000000"/>
              <w:left w:val="single" w:sz="6" w:space="0" w:color="000000"/>
              <w:bottom w:val="double" w:sz="6" w:space="0" w:color="000000"/>
              <w:right w:val="single" w:sz="6" w:space="0" w:color="000000"/>
            </w:tcBorders>
            <w:vAlign w:val="center"/>
          </w:tcPr>
          <w:p w:rsidR="00D52458" w:rsidRPr="00D52458" w:rsidRDefault="00D52458" w:rsidP="00D52458">
            <w:pPr>
              <w:widowControl w:val="0"/>
              <w:tabs>
                <w:tab w:val="center" w:pos="8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58" w:line="240" w:lineRule="auto"/>
              <w:jc w:val="center"/>
              <w:rPr>
                <w:rFonts w:ascii="Times New Roman" w:eastAsia="Times New Roman" w:hAnsi="Times New Roman" w:cs="Times New Roman"/>
                <w:color w:val="000000"/>
                <w:sz w:val="24"/>
                <w:szCs w:val="20"/>
              </w:rPr>
            </w:pPr>
            <w:proofErr w:type="spellStart"/>
            <w:r w:rsidRPr="00D52458">
              <w:rPr>
                <w:rFonts w:ascii="Times New Roman" w:eastAsia="Times New Roman" w:hAnsi="Times New Roman" w:cs="Times New Roman"/>
                <w:color w:val="000000"/>
                <w:sz w:val="24"/>
                <w:szCs w:val="20"/>
              </w:rPr>
              <w:t>HepB</w:t>
            </w:r>
            <w:proofErr w:type="spellEnd"/>
          </w:p>
        </w:tc>
        <w:tc>
          <w:tcPr>
            <w:tcW w:w="2880" w:type="dxa"/>
            <w:tcBorders>
              <w:top w:val="single" w:sz="6" w:space="0" w:color="000000"/>
              <w:left w:val="single" w:sz="6" w:space="0" w:color="000000"/>
              <w:bottom w:val="double" w:sz="6" w:space="0" w:color="000000"/>
              <w:right w:val="single" w:sz="6" w:space="0" w:color="000000"/>
            </w:tcBorders>
            <w:vAlign w:val="center"/>
          </w:tcPr>
          <w:p w:rsidR="00D52458" w:rsidRPr="00D52458" w:rsidRDefault="00D52458" w:rsidP="00D52458">
            <w:pPr>
              <w:widowControl w:val="0"/>
              <w:tabs>
                <w:tab w:val="center" w:pos="123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120" w:after="120" w:line="240" w:lineRule="auto"/>
              <w:ind w:left="144"/>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6 through 18 months, at least 8 weeks after dose 2 and at least 16 weeks </w:t>
            </w:r>
            <w:r w:rsidRPr="00D52458">
              <w:rPr>
                <w:rFonts w:ascii="Times New Roman" w:eastAsia="Times New Roman" w:hAnsi="Times New Roman" w:cs="Times New Roman"/>
                <w:color w:val="000000"/>
                <w:sz w:val="24"/>
                <w:szCs w:val="20"/>
              </w:rPr>
              <w:br/>
              <w:t>after dose 1</w:t>
            </w:r>
          </w:p>
        </w:tc>
        <w:tc>
          <w:tcPr>
            <w:tcW w:w="4177" w:type="dxa"/>
            <w:tcBorders>
              <w:top w:val="single" w:sz="6" w:space="0" w:color="000000"/>
              <w:left w:val="single" w:sz="6" w:space="0" w:color="000000"/>
              <w:bottom w:val="double" w:sz="6" w:space="0" w:color="000000"/>
              <w:right w:val="double" w:sz="6" w:space="0" w:color="000000"/>
            </w:tcBorders>
          </w:tcPr>
          <w:p w:rsidR="00D52458" w:rsidRPr="00D52458" w:rsidRDefault="00D52458" w:rsidP="00D52458">
            <w:pPr>
              <w:keepNext/>
              <w:tabs>
                <w:tab w:val="center" w:pos="1590"/>
              </w:tabs>
              <w:spacing w:before="120" w:after="120" w:line="240" w:lineRule="auto"/>
              <w:outlineLvl w:val="1"/>
              <w:rPr>
                <w:rFonts w:ascii="Times New Roman" w:eastAsia="Times New Roman" w:hAnsi="Times New Roman" w:cs="Times New Roman"/>
                <w:b/>
                <w:bCs/>
                <w:color w:val="000000"/>
                <w:sz w:val="24"/>
                <w:szCs w:val="20"/>
              </w:rPr>
            </w:pPr>
            <w:r w:rsidRPr="00D52458">
              <w:rPr>
                <w:rFonts w:ascii="Times New Roman" w:eastAsia="Times New Roman" w:hAnsi="Times New Roman" w:cs="Times New Roman"/>
                <w:b/>
                <w:bCs/>
                <w:color w:val="000000"/>
                <w:sz w:val="24"/>
                <w:szCs w:val="20"/>
              </w:rPr>
              <w:t>Dose #3 must be:</w:t>
            </w:r>
          </w:p>
          <w:p w:rsidR="00D52458" w:rsidRPr="00D52458" w:rsidRDefault="00D52458" w:rsidP="00D52458">
            <w:pPr>
              <w:numPr>
                <w:ilvl w:val="0"/>
                <w:numId w:val="5"/>
              </w:numPr>
              <w:spacing w:before="120" w:after="120" w:line="240" w:lineRule="auto"/>
              <w:ind w:left="504"/>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At least 8 weeks after dose 2, and</w:t>
            </w:r>
          </w:p>
          <w:p w:rsidR="00D52458" w:rsidRPr="00D52458" w:rsidRDefault="00D52458" w:rsidP="00D52458">
            <w:pPr>
              <w:numPr>
                <w:ilvl w:val="0"/>
                <w:numId w:val="5"/>
              </w:numPr>
              <w:spacing w:before="120" w:after="120" w:line="240" w:lineRule="auto"/>
              <w:ind w:left="504"/>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At least 16 weeks after dose 1</w:t>
            </w:r>
          </w:p>
          <w:p w:rsidR="00D52458" w:rsidRPr="00D52458" w:rsidRDefault="00D52458" w:rsidP="00D52458">
            <w:pPr>
              <w:numPr>
                <w:ilvl w:val="0"/>
                <w:numId w:val="5"/>
              </w:numPr>
              <w:spacing w:before="120" w:after="120" w:line="240" w:lineRule="auto"/>
              <w:ind w:left="504"/>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At 24 weeks of age or older</w:t>
            </w:r>
          </w:p>
        </w:tc>
      </w:tr>
    </w:tbl>
    <w:p w:rsidR="00D52458" w:rsidRPr="00D52458" w:rsidRDefault="00D52458" w:rsidP="00D52458">
      <w:pPr>
        <w:spacing w:before="120" w:after="0" w:line="240" w:lineRule="auto"/>
        <w:ind w:left="144"/>
        <w:outlineLvl w:val="2"/>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*PEDIARIX</w:t>
      </w:r>
      <w:r>
        <w:rPr>
          <w:rFonts w:ascii="Times New Roman" w:eastAsia="Times New Roman" w:hAnsi="Times New Roman" w:cs="Times New Roman"/>
          <w:color w:val="000000"/>
          <w:sz w:val="24"/>
          <w:szCs w:val="24"/>
          <w:vertAlign w:val="superscript"/>
        </w:rPr>
        <w:t>®</w:t>
      </w:r>
      <w:r w:rsidRPr="00D52458">
        <w:rPr>
          <w:rFonts w:ascii="Times New Roman" w:eastAsia="Times New Roman" w:hAnsi="Times New Roman" w:cs="Times New Roman"/>
          <w:color w:val="000000"/>
          <w:sz w:val="24"/>
          <w:szCs w:val="24"/>
        </w:rPr>
        <w:t xml:space="preserve"> can be given at 2, 4 and 6 months to infants who received a birth dose of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w:t>
      </w:r>
      <w:r w:rsidRPr="00D52458">
        <w:rPr>
          <w:rFonts w:ascii="Times New Roman" w:eastAsia="Times New Roman" w:hAnsi="Times New Roman" w:cs="Times New Roman"/>
          <w:color w:val="000000"/>
          <w:sz w:val="24"/>
          <w:szCs w:val="24"/>
        </w:rPr>
        <w:br/>
        <w:t xml:space="preserve">  Vaccine (</w:t>
      </w:r>
      <w:proofErr w:type="gramStart"/>
      <w:r w:rsidRPr="00D52458">
        <w:rPr>
          <w:rFonts w:ascii="Times New Roman" w:eastAsia="Times New Roman" w:hAnsi="Times New Roman" w:cs="Times New Roman"/>
          <w:color w:val="000000"/>
          <w:sz w:val="24"/>
          <w:szCs w:val="24"/>
        </w:rPr>
        <w:t>total of 4</w:t>
      </w:r>
      <w:proofErr w:type="gramEnd"/>
      <w:r w:rsidRPr="00D52458">
        <w:rPr>
          <w:rFonts w:ascii="Times New Roman" w:eastAsia="Times New Roman" w:hAnsi="Times New Roman" w:cs="Times New Roman"/>
          <w:color w:val="000000"/>
          <w:sz w:val="24"/>
          <w:szCs w:val="24"/>
        </w:rPr>
        <w:t xml:space="preserve"> doses).  See CDC’s Pink Book 13</w:t>
      </w:r>
      <w:r w:rsidRPr="00D52458">
        <w:rPr>
          <w:rFonts w:ascii="Times New Roman" w:eastAsia="Times New Roman" w:hAnsi="Times New Roman" w:cs="Times New Roman"/>
          <w:color w:val="000000"/>
          <w:sz w:val="24"/>
          <w:szCs w:val="24"/>
          <w:vertAlign w:val="superscript"/>
        </w:rPr>
        <w:t xml:space="preserve">th </w:t>
      </w:r>
      <w:r w:rsidRPr="00D52458">
        <w:rPr>
          <w:rFonts w:ascii="Times New Roman" w:eastAsia="Times New Roman" w:hAnsi="Times New Roman" w:cs="Times New Roman"/>
          <w:color w:val="000000"/>
          <w:sz w:val="24"/>
          <w:szCs w:val="24"/>
        </w:rPr>
        <w:t xml:space="preserve">Edition, pg. 162.  </w:t>
      </w:r>
    </w:p>
    <w:p w:rsidR="00D52458" w:rsidRPr="00D52458" w:rsidRDefault="00D52458" w:rsidP="00D52458">
      <w:pPr>
        <w:autoSpaceDE w:val="0"/>
        <w:autoSpaceDN w:val="0"/>
        <w:adjustRightInd w:val="0"/>
        <w:spacing w:before="60" w:after="60" w:line="240" w:lineRule="auto"/>
        <w:ind w:left="1368"/>
        <w:rPr>
          <w:rFonts w:ascii="Times New Roman" w:eastAsia="Times New Roman" w:hAnsi="Times New Roman" w:cs="Times New Roman"/>
          <w:b/>
          <w:color w:val="000000"/>
          <w:sz w:val="24"/>
          <w:szCs w:val="24"/>
          <w:u w:val="single"/>
        </w:rPr>
      </w:pPr>
    </w:p>
    <w:p w:rsidR="00D52458" w:rsidRPr="00D52458" w:rsidRDefault="00D52458" w:rsidP="00D52458">
      <w:pPr>
        <w:autoSpaceDE w:val="0"/>
        <w:autoSpaceDN w:val="0"/>
        <w:adjustRightInd w:val="0"/>
        <w:spacing w:before="60" w:after="60" w:line="240" w:lineRule="auto"/>
        <w:ind w:left="1368"/>
        <w:rPr>
          <w:rFonts w:ascii="Times New Roman" w:eastAsia="Times New Roman" w:hAnsi="Times New Roman" w:cs="Times New Roman"/>
          <w:b/>
          <w:color w:val="000000"/>
          <w:sz w:val="24"/>
          <w:szCs w:val="24"/>
          <w:u w:val="single"/>
        </w:rPr>
      </w:pPr>
    </w:p>
    <w:p w:rsidR="00D52458" w:rsidRPr="00D52458" w:rsidRDefault="00D52458" w:rsidP="00D52458">
      <w:pPr>
        <w:spacing w:after="12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0"/>
          <w:szCs w:val="20"/>
        </w:rPr>
        <w:lastRenderedPageBreak/>
        <w:t>*</w:t>
      </w:r>
      <w:proofErr w:type="spellStart"/>
      <w:r w:rsidRPr="00D52458">
        <w:rPr>
          <w:rFonts w:ascii="Times New Roman" w:eastAsia="Times New Roman" w:hAnsi="Times New Roman" w:cs="Times New Roman"/>
          <w:color w:val="000000"/>
          <w:sz w:val="24"/>
          <w:szCs w:val="24"/>
          <w:u w:val="single"/>
        </w:rPr>
        <w:t>HepB</w:t>
      </w:r>
      <w:proofErr w:type="spellEnd"/>
      <w:r w:rsidRPr="00D52458">
        <w:rPr>
          <w:rFonts w:ascii="Times New Roman" w:eastAsia="Times New Roman" w:hAnsi="Times New Roman" w:cs="Times New Roman"/>
          <w:color w:val="000000"/>
          <w:sz w:val="24"/>
          <w:szCs w:val="24"/>
          <w:u w:val="single"/>
        </w:rPr>
        <w:t xml:space="preserve"> vaccine and hepatitis B immune globulin (HBIG) at birth:</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Administer monovalent (single-antigen) hepatitis B vaccine to all newborns within 24 hours of birth.</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infants born to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-negative mothers, administer monovalent (single-antigen)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within 24 hours of birth.</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infants born to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positive mothers, administer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and 0.5 mL of hepatitis B immune globulin (HBIG) within 12 hours of birth.  These infants should be tested for both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and quantitative anti-HBs (i.e., antibody to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1 to 2 months after completion of the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series, at age </w:t>
      </w:r>
      <w:proofErr w:type="gramStart"/>
      <w:r w:rsidRPr="00D52458">
        <w:rPr>
          <w:rFonts w:ascii="Times New Roman" w:eastAsia="Times New Roman" w:hAnsi="Times New Roman" w:cs="Times New Roman"/>
          <w:color w:val="000000"/>
          <w:sz w:val="24"/>
          <w:szCs w:val="24"/>
        </w:rPr>
        <w:t>9</w:t>
      </w:r>
      <w:proofErr w:type="gramEnd"/>
      <w:r w:rsidRPr="00D52458">
        <w:rPr>
          <w:rFonts w:ascii="Times New Roman" w:eastAsia="Times New Roman" w:hAnsi="Times New Roman" w:cs="Times New Roman"/>
          <w:color w:val="000000"/>
          <w:sz w:val="24"/>
          <w:szCs w:val="24"/>
        </w:rPr>
        <w:t> through 18 months (generally at the next well-child visit).</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w:t>
      </w:r>
      <w:proofErr w:type="gramStart"/>
      <w:r w:rsidRPr="00D52458">
        <w:rPr>
          <w:rFonts w:ascii="Times New Roman" w:eastAsia="Times New Roman" w:hAnsi="Times New Roman" w:cs="Times New Roman"/>
          <w:color w:val="000000"/>
          <w:sz w:val="24"/>
          <w:szCs w:val="24"/>
        </w:rPr>
        <w:t>mother’s</w:t>
      </w:r>
      <w:proofErr w:type="gramEnd"/>
      <w:r w:rsidRPr="00D52458">
        <w:rPr>
          <w:rFonts w:ascii="Times New Roman" w:eastAsia="Times New Roman" w:hAnsi="Times New Roman" w:cs="Times New Roman"/>
          <w:color w:val="000000"/>
          <w:sz w:val="24"/>
          <w:szCs w:val="24"/>
        </w:rPr>
        <w:t xml:space="preserve">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status is unknown, within 12 hours of birth administer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to all infants regardless of the birth weight.  For infants weighing &lt; 2,000 grams, administer HBIG in addition to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within 12 hours of birth.  Determine mother’s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status as soon as possible and, if she is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w:t>
      </w:r>
      <w:proofErr w:type="gramStart"/>
      <w:r w:rsidRPr="00D52458">
        <w:rPr>
          <w:rFonts w:ascii="Times New Roman" w:eastAsia="Times New Roman" w:hAnsi="Times New Roman" w:cs="Times New Roman"/>
          <w:color w:val="000000"/>
          <w:sz w:val="24"/>
          <w:szCs w:val="24"/>
        </w:rPr>
        <w:t>positive, also</w:t>
      </w:r>
      <w:proofErr w:type="gramEnd"/>
      <w:r w:rsidRPr="00D52458">
        <w:rPr>
          <w:rFonts w:ascii="Times New Roman" w:eastAsia="Times New Roman" w:hAnsi="Times New Roman" w:cs="Times New Roman"/>
          <w:color w:val="000000"/>
          <w:sz w:val="24"/>
          <w:szCs w:val="24"/>
        </w:rPr>
        <w:t xml:space="preserve"> administer HBIG for infants weighing ≥ 2,000 grams (no later than age 1 week). </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Infants born to women for whom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testing results during pregnancy are not available but other evidence suggestive of maternal HBV infection exists (e.g., presence of HBV DNA, </w:t>
      </w:r>
      <w:proofErr w:type="spellStart"/>
      <w:r w:rsidRPr="00D52458">
        <w:rPr>
          <w:rFonts w:ascii="Times New Roman" w:eastAsia="Times New Roman" w:hAnsi="Times New Roman" w:cs="Times New Roman"/>
          <w:color w:val="000000"/>
          <w:sz w:val="24"/>
          <w:szCs w:val="24"/>
        </w:rPr>
        <w:t>HBeAg</w:t>
      </w:r>
      <w:proofErr w:type="spellEnd"/>
      <w:r w:rsidRPr="00D52458">
        <w:rPr>
          <w:rFonts w:ascii="Times New Roman" w:eastAsia="Times New Roman" w:hAnsi="Times New Roman" w:cs="Times New Roman"/>
          <w:color w:val="000000"/>
          <w:sz w:val="24"/>
          <w:szCs w:val="24"/>
        </w:rPr>
        <w:t xml:space="preserve">-positive, or mother known to be chronically infected with HBV) should be managed as if born to an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-positive mother.  The infant should receive both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and HBIG within 12 hours of birth</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it is not possible to determine the mother's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status (e.g., when a parent or person with lawful custody safely surrenders an infant confidentially shortly after birth), the vaccine series should be completed according to a recommended schedule for infants born to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-positive mothers.  The final dose in the series </w:t>
      </w:r>
      <w:proofErr w:type="gramStart"/>
      <w:r w:rsidRPr="00D52458">
        <w:rPr>
          <w:rFonts w:ascii="Times New Roman" w:eastAsia="Times New Roman" w:hAnsi="Times New Roman" w:cs="Times New Roman"/>
          <w:color w:val="000000"/>
          <w:sz w:val="24"/>
          <w:szCs w:val="24"/>
        </w:rPr>
        <w:t>should not be administered</w:t>
      </w:r>
      <w:proofErr w:type="gramEnd"/>
      <w:r w:rsidRPr="00D52458">
        <w:rPr>
          <w:rFonts w:ascii="Times New Roman" w:eastAsia="Times New Roman" w:hAnsi="Times New Roman" w:cs="Times New Roman"/>
          <w:color w:val="000000"/>
          <w:sz w:val="24"/>
          <w:szCs w:val="24"/>
        </w:rPr>
        <w:t xml:space="preserve"> before age 24 weeks (164 days).  These infants should receive </w:t>
      </w:r>
      <w:proofErr w:type="spellStart"/>
      <w:r w:rsidRPr="00D52458">
        <w:rPr>
          <w:rFonts w:ascii="Times New Roman" w:eastAsia="Times New Roman" w:hAnsi="Times New Roman" w:cs="Times New Roman"/>
          <w:color w:val="000000"/>
          <w:sz w:val="24"/>
          <w:szCs w:val="24"/>
        </w:rPr>
        <w:t>postvaccination</w:t>
      </w:r>
      <w:proofErr w:type="spellEnd"/>
      <w:r w:rsidRPr="00D52458">
        <w:rPr>
          <w:rFonts w:ascii="Times New Roman" w:eastAsia="Times New Roman" w:hAnsi="Times New Roman" w:cs="Times New Roman"/>
          <w:color w:val="000000"/>
          <w:sz w:val="24"/>
          <w:szCs w:val="24"/>
        </w:rPr>
        <w:t xml:space="preserve"> serologic testing at age 9-12 months, and revaccination if necessary.</w:t>
      </w:r>
    </w:p>
    <w:p w:rsidR="00D52458" w:rsidRPr="00D52458" w:rsidRDefault="00D52458" w:rsidP="00D52458">
      <w:pPr>
        <w:spacing w:before="60" w:after="60" w:line="240" w:lineRule="auto"/>
        <w:rPr>
          <w:rFonts w:ascii="Times New Roman" w:eastAsia="Times New Roman" w:hAnsi="Times New Roman" w:cs="Times New Roman"/>
          <w:color w:val="000000"/>
          <w:sz w:val="24"/>
          <w:szCs w:val="24"/>
        </w:rPr>
      </w:pPr>
    </w:p>
    <w:p w:rsidR="00D52458" w:rsidRPr="00D52458" w:rsidRDefault="00D52458" w:rsidP="00D52458">
      <w:pPr>
        <w:spacing w:before="60" w:after="120" w:line="240" w:lineRule="auto"/>
        <w:rPr>
          <w:rFonts w:ascii="Times New Roman" w:eastAsia="Times New Roman" w:hAnsi="Times New Roman" w:cs="Times New Roman"/>
          <w:color w:val="000000"/>
          <w:sz w:val="24"/>
          <w:szCs w:val="24"/>
          <w:u w:val="single"/>
        </w:rPr>
      </w:pPr>
      <w:r w:rsidRPr="00D52458">
        <w:rPr>
          <w:rFonts w:ascii="Times New Roman" w:eastAsia="Times New Roman" w:hAnsi="Times New Roman" w:cs="Times New Roman"/>
          <w:color w:val="000000"/>
          <w:sz w:val="24"/>
          <w:szCs w:val="24"/>
          <w:u w:val="single"/>
        </w:rPr>
        <w:t>*</w:t>
      </w:r>
      <w:proofErr w:type="spellStart"/>
      <w:r w:rsidRPr="00D52458">
        <w:rPr>
          <w:rFonts w:ascii="Times New Roman" w:eastAsia="Times New Roman" w:hAnsi="Times New Roman" w:cs="Times New Roman"/>
          <w:color w:val="000000"/>
          <w:sz w:val="24"/>
          <w:szCs w:val="24"/>
          <w:u w:val="single"/>
        </w:rPr>
        <w:t>HepB</w:t>
      </w:r>
      <w:proofErr w:type="spellEnd"/>
      <w:r w:rsidRPr="00D52458">
        <w:rPr>
          <w:rFonts w:ascii="Times New Roman" w:eastAsia="Times New Roman" w:hAnsi="Times New Roman" w:cs="Times New Roman"/>
          <w:color w:val="000000"/>
          <w:sz w:val="24"/>
          <w:szCs w:val="24"/>
          <w:u w:val="single"/>
        </w:rPr>
        <w:t xml:space="preserve"> vaccine doses following the birth dose:</w:t>
      </w:r>
    </w:p>
    <w:p w:rsidR="00D52458" w:rsidRPr="00D52458" w:rsidRDefault="00D52458" w:rsidP="00D52458">
      <w:pPr>
        <w:numPr>
          <w:ilvl w:val="0"/>
          <w:numId w:val="8"/>
        </w:numPr>
        <w:spacing w:after="0" w:line="240" w:lineRule="auto"/>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Administer monovalent (single-antigen) hepatitis B vaccine for doses administered before age 6 weeks.</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The second dose </w:t>
      </w:r>
      <w:proofErr w:type="gramStart"/>
      <w:r w:rsidRPr="00D52458">
        <w:rPr>
          <w:rFonts w:ascii="Times New Roman" w:eastAsia="Times New Roman" w:hAnsi="Times New Roman" w:cs="Times New Roman"/>
          <w:color w:val="000000"/>
          <w:sz w:val="24"/>
          <w:szCs w:val="24"/>
        </w:rPr>
        <w:t>should be administered</w:t>
      </w:r>
      <w:proofErr w:type="gramEnd"/>
      <w:r w:rsidRPr="00D52458">
        <w:rPr>
          <w:rFonts w:ascii="Times New Roman" w:eastAsia="Times New Roman" w:hAnsi="Times New Roman" w:cs="Times New Roman"/>
          <w:color w:val="000000"/>
          <w:sz w:val="24"/>
          <w:szCs w:val="24"/>
        </w:rPr>
        <w:t xml:space="preserve"> at age 1 or 2 months</w:t>
      </w:r>
      <w:r w:rsidRPr="00D52458">
        <w:rPr>
          <w:rFonts w:ascii="Times New Roman" w:eastAsia="Times New Roman" w:hAnsi="Times New Roman" w:cs="Times New Roman"/>
          <w:color w:val="000000"/>
          <w:sz w:val="24"/>
          <w:szCs w:val="20"/>
        </w:rPr>
        <w:t xml:space="preserve">.  </w:t>
      </w:r>
    </w:p>
    <w:p w:rsidR="00D52458" w:rsidRPr="00D52458" w:rsidRDefault="00D52458" w:rsidP="00D52458">
      <w:pPr>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Infants who did not receive a birth dose should receive three doses of a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containing vaccine on a schedule of </w:t>
      </w:r>
      <w:proofErr w:type="gramStart"/>
      <w:r w:rsidRPr="00D52458">
        <w:rPr>
          <w:rFonts w:ascii="Times New Roman" w:eastAsia="Times New Roman" w:hAnsi="Times New Roman" w:cs="Times New Roman"/>
          <w:color w:val="000000"/>
          <w:sz w:val="24"/>
          <w:szCs w:val="24"/>
        </w:rPr>
        <w:t>0</w:t>
      </w:r>
      <w:proofErr w:type="gramEnd"/>
      <w:r w:rsidRPr="00D52458">
        <w:rPr>
          <w:rFonts w:ascii="Times New Roman" w:eastAsia="Times New Roman" w:hAnsi="Times New Roman" w:cs="Times New Roman"/>
          <w:color w:val="000000"/>
          <w:sz w:val="24"/>
          <w:szCs w:val="24"/>
        </w:rPr>
        <w:t>, 1 to 2 months, and 6 months starting as soon as feasible.</w:t>
      </w:r>
    </w:p>
    <w:p w:rsidR="00D52458" w:rsidRPr="00D52458" w:rsidRDefault="00D52458" w:rsidP="00D52458">
      <w:pPr>
        <w:keepNext/>
        <w:keepLines/>
        <w:numPr>
          <w:ilvl w:val="0"/>
          <w:numId w:val="8"/>
        </w:numPr>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The minimum interval between dose 1 and dose 2 is 4 weeks and between dose 2 and dose 3 is 8 weeks.  The final (third or fourth) dose in the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series </w:t>
      </w:r>
      <w:proofErr w:type="gramStart"/>
      <w:r w:rsidRPr="00D52458">
        <w:rPr>
          <w:rFonts w:ascii="Times New Roman" w:eastAsia="Times New Roman" w:hAnsi="Times New Roman" w:cs="Times New Roman"/>
          <w:color w:val="000000"/>
          <w:sz w:val="24"/>
          <w:szCs w:val="24"/>
        </w:rPr>
        <w:t>should be administered</w:t>
      </w:r>
      <w:proofErr w:type="gramEnd"/>
      <w:r w:rsidRPr="00D52458">
        <w:rPr>
          <w:rFonts w:ascii="Times New Roman" w:eastAsia="Times New Roman" w:hAnsi="Times New Roman" w:cs="Times New Roman"/>
          <w:color w:val="000000"/>
          <w:sz w:val="24"/>
          <w:szCs w:val="24"/>
        </w:rPr>
        <w:t xml:space="preserve"> no earlier than age 24 weeks and at least 16 weeks after the </w:t>
      </w:r>
      <w:r w:rsidRPr="00D52458">
        <w:rPr>
          <w:rFonts w:ascii="Times New Roman" w:eastAsia="Times New Roman" w:hAnsi="Times New Roman" w:cs="Times New Roman"/>
          <w:color w:val="000000"/>
          <w:sz w:val="24"/>
          <w:szCs w:val="24"/>
        </w:rPr>
        <w:br/>
        <w:t>first dose.</w:t>
      </w:r>
    </w:p>
    <w:p w:rsidR="00D52458" w:rsidRPr="00D52458" w:rsidRDefault="00D52458" w:rsidP="00D52458">
      <w:pPr>
        <w:numPr>
          <w:ilvl w:val="0"/>
          <w:numId w:val="8"/>
        </w:numPr>
        <w:spacing w:before="60" w:after="60" w:line="240" w:lineRule="auto"/>
        <w:rPr>
          <w:rFonts w:ascii="Times New Roman" w:eastAsia="Times New Roman" w:hAnsi="Times New Roman" w:cs="Times New Roman"/>
          <w:b/>
          <w:bCs/>
          <w:color w:val="000000"/>
          <w:sz w:val="24"/>
          <w:szCs w:val="24"/>
        </w:rPr>
      </w:pPr>
      <w:r w:rsidRPr="00D52458">
        <w:rPr>
          <w:rFonts w:ascii="Times New Roman" w:eastAsia="Times New Roman" w:hAnsi="Times New Roman" w:cs="Times New Roman"/>
          <w:color w:val="000000"/>
          <w:sz w:val="24"/>
          <w:szCs w:val="24"/>
        </w:rPr>
        <w:t xml:space="preserve">Administration of </w:t>
      </w:r>
      <w:proofErr w:type="gramStart"/>
      <w:r w:rsidRPr="00D52458">
        <w:rPr>
          <w:rFonts w:ascii="Times New Roman" w:eastAsia="Times New Roman" w:hAnsi="Times New Roman" w:cs="Times New Roman"/>
          <w:color w:val="000000"/>
          <w:sz w:val="24"/>
          <w:szCs w:val="24"/>
        </w:rPr>
        <w:t>a total of 4</w:t>
      </w:r>
      <w:proofErr w:type="gramEnd"/>
      <w:r w:rsidRPr="00D52458">
        <w:rPr>
          <w:rFonts w:ascii="Times New Roman" w:eastAsia="Times New Roman" w:hAnsi="Times New Roman" w:cs="Times New Roman"/>
          <w:color w:val="000000"/>
          <w:sz w:val="24"/>
          <w:szCs w:val="24"/>
        </w:rPr>
        <w:t xml:space="preserve"> doses of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is recommended when a combination vaccine containing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is administered after the birth dose.</w:t>
      </w:r>
    </w:p>
    <w:p w:rsidR="00D52458" w:rsidRPr="00D52458" w:rsidRDefault="00D52458" w:rsidP="00D52458">
      <w:pPr>
        <w:spacing w:after="0" w:line="240" w:lineRule="auto"/>
        <w:rPr>
          <w:rFonts w:ascii="Times New Roman" w:eastAsia="Times New Roman" w:hAnsi="Times New Roman" w:cs="Times New Roman"/>
          <w:b/>
          <w:bCs/>
          <w:sz w:val="23"/>
          <w:szCs w:val="23"/>
          <w:u w:val="thick" w:color="000000"/>
        </w:rPr>
      </w:pPr>
      <w:r w:rsidRPr="00D52458">
        <w:rPr>
          <w:rFonts w:ascii="Times New Roman" w:eastAsia="Times New Roman" w:hAnsi="Times New Roman" w:cs="Times New Roman"/>
          <w:b/>
          <w:bCs/>
          <w:sz w:val="23"/>
          <w:szCs w:val="23"/>
          <w:u w:val="thick" w:color="000000"/>
        </w:rPr>
        <w:br w:type="page"/>
      </w:r>
    </w:p>
    <w:p w:rsidR="00D52458" w:rsidRPr="00D52458" w:rsidRDefault="00D52458" w:rsidP="00D52458">
      <w:pPr>
        <w:widowControl w:val="0"/>
        <w:autoSpaceDE w:val="0"/>
        <w:autoSpaceDN w:val="0"/>
        <w:spacing w:after="0" w:line="240" w:lineRule="auto"/>
        <w:ind w:left="820" w:hanging="720"/>
        <w:outlineLvl w:val="1"/>
        <w:rPr>
          <w:rFonts w:ascii="Times New Roman" w:eastAsia="Times New Roman" w:hAnsi="Times New Roman" w:cs="Times New Roman"/>
          <w:b/>
          <w:bCs/>
          <w:sz w:val="23"/>
          <w:szCs w:val="23"/>
          <w:u w:color="000000"/>
        </w:rPr>
      </w:pPr>
      <w:r w:rsidRPr="00D52458">
        <w:rPr>
          <w:rFonts w:ascii="Times New Roman" w:eastAsia="Times New Roman" w:hAnsi="Times New Roman" w:cs="Times New Roman"/>
          <w:b/>
          <w:bCs/>
          <w:sz w:val="23"/>
          <w:szCs w:val="23"/>
          <w:u w:val="thick" w:color="000000"/>
        </w:rPr>
        <w:lastRenderedPageBreak/>
        <w:t>Hepatitis B Vaccination Schedule for Children and Adolescents</w:t>
      </w:r>
    </w:p>
    <w:p w:rsidR="00D52458" w:rsidRPr="00D52458" w:rsidRDefault="00D52458" w:rsidP="00D52458">
      <w:pPr>
        <w:widowControl w:val="0"/>
        <w:autoSpaceDE w:val="0"/>
        <w:autoSpaceDN w:val="0"/>
        <w:spacing w:before="11" w:after="0" w:line="240" w:lineRule="auto"/>
        <w:rPr>
          <w:rFonts w:ascii="Times New Roman" w:eastAsia="Times New Roman" w:hAnsi="Times New Roman" w:cs="Times New Roman"/>
          <w:b/>
          <w:szCs w:val="23"/>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4770"/>
      </w:tblGrid>
      <w:tr w:rsidR="00D52458" w:rsidRPr="00D52458" w:rsidTr="00761C75">
        <w:trPr>
          <w:trHeight w:hRule="exact" w:val="658"/>
        </w:trPr>
        <w:tc>
          <w:tcPr>
            <w:tcW w:w="3960" w:type="dxa"/>
            <w:vAlign w:val="center"/>
          </w:tcPr>
          <w:p w:rsidR="00D52458" w:rsidRPr="00D52458" w:rsidRDefault="00D52458" w:rsidP="00D52458">
            <w:pPr>
              <w:widowControl w:val="0"/>
              <w:autoSpaceDE w:val="0"/>
              <w:autoSpaceDN w:val="0"/>
              <w:spacing w:after="0" w:line="240" w:lineRule="auto"/>
              <w:jc w:val="center"/>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Age</w:t>
            </w:r>
          </w:p>
        </w:tc>
        <w:tc>
          <w:tcPr>
            <w:tcW w:w="4770" w:type="dxa"/>
            <w:vAlign w:val="center"/>
          </w:tcPr>
          <w:p w:rsidR="00D52458" w:rsidRPr="00D52458" w:rsidRDefault="00D52458" w:rsidP="00D52458">
            <w:pPr>
              <w:widowControl w:val="0"/>
              <w:autoSpaceDE w:val="0"/>
              <w:autoSpaceDN w:val="0"/>
              <w:spacing w:after="0" w:line="240" w:lineRule="auto"/>
              <w:jc w:val="center"/>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Schedule</w:t>
            </w:r>
            <w:r w:rsidRPr="00D52458">
              <w:rPr>
                <w:rFonts w:ascii="Times New Roman" w:eastAsia="Times New Roman" w:hAnsi="Times New Roman" w:cs="Times New Roman"/>
                <w:position w:val="9"/>
                <w:sz w:val="24"/>
                <w:szCs w:val="24"/>
              </w:rPr>
              <w:t>1,6</w:t>
            </w:r>
          </w:p>
        </w:tc>
      </w:tr>
      <w:tr w:rsidR="00D52458" w:rsidRPr="00D52458" w:rsidTr="00761C75">
        <w:trPr>
          <w:trHeight w:hRule="exact" w:val="1432"/>
        </w:trPr>
        <w:tc>
          <w:tcPr>
            <w:tcW w:w="3960" w:type="dxa"/>
            <w:vAlign w:val="center"/>
          </w:tcPr>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Children (1through10 years)</w:t>
            </w:r>
          </w:p>
        </w:tc>
        <w:tc>
          <w:tcPr>
            <w:tcW w:w="4770" w:type="dxa"/>
            <w:vAlign w:val="center"/>
          </w:tcPr>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 and 6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2, and 4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 2, and 12 months</w:t>
            </w:r>
            <w:r w:rsidRPr="00D52458">
              <w:rPr>
                <w:rFonts w:ascii="Times New Roman" w:eastAsia="Times New Roman" w:hAnsi="Times New Roman" w:cs="Times New Roman"/>
                <w:position w:val="9"/>
                <w:sz w:val="24"/>
                <w:szCs w:val="24"/>
              </w:rPr>
              <w:t>2,4</w:t>
            </w:r>
          </w:p>
        </w:tc>
      </w:tr>
      <w:tr w:rsidR="00D52458" w:rsidRPr="00D52458" w:rsidTr="00761C75">
        <w:trPr>
          <w:trHeight w:hRule="exact" w:val="2872"/>
        </w:trPr>
        <w:tc>
          <w:tcPr>
            <w:tcW w:w="3960" w:type="dxa"/>
            <w:vAlign w:val="center"/>
          </w:tcPr>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Adolescents (11 through 18 years)</w:t>
            </w:r>
          </w:p>
        </w:tc>
        <w:tc>
          <w:tcPr>
            <w:tcW w:w="4770" w:type="dxa"/>
            <w:vAlign w:val="center"/>
          </w:tcPr>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 and 6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 and 4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2, and 4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12, and 24 months</w:t>
            </w:r>
            <w:r w:rsidRPr="00D52458">
              <w:rPr>
                <w:rFonts w:ascii="Times New Roman" w:eastAsia="Times New Roman" w:hAnsi="Times New Roman" w:cs="Times New Roman"/>
                <w:position w:val="9"/>
                <w:sz w:val="24"/>
                <w:szCs w:val="24"/>
              </w:rPr>
              <w:t>2</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and 4 through 6 months</w:t>
            </w:r>
            <w:r w:rsidRPr="00D52458">
              <w:rPr>
                <w:rFonts w:ascii="Times New Roman" w:eastAsia="Times New Roman" w:hAnsi="Times New Roman" w:cs="Times New Roman"/>
                <w:position w:val="9"/>
                <w:sz w:val="24"/>
                <w:szCs w:val="24"/>
              </w:rPr>
              <w:t>3</w:t>
            </w:r>
          </w:p>
          <w:p w:rsidR="00D52458" w:rsidRPr="00D52458" w:rsidRDefault="00D52458" w:rsidP="00D52458">
            <w:pPr>
              <w:widowControl w:val="0"/>
              <w:autoSpaceDE w:val="0"/>
              <w:autoSpaceDN w:val="0"/>
              <w:spacing w:after="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1, 2, and 12 months</w:t>
            </w:r>
            <w:r w:rsidRPr="00D52458">
              <w:rPr>
                <w:rFonts w:ascii="Times New Roman" w:eastAsia="Times New Roman" w:hAnsi="Times New Roman" w:cs="Times New Roman"/>
                <w:position w:val="9"/>
                <w:sz w:val="24"/>
                <w:szCs w:val="24"/>
              </w:rPr>
              <w:t>2,4</w:t>
            </w:r>
          </w:p>
          <w:p w:rsidR="00D52458" w:rsidRPr="00D52458" w:rsidRDefault="00D52458" w:rsidP="00D52458">
            <w:pPr>
              <w:widowControl w:val="0"/>
              <w:autoSpaceDE w:val="0"/>
              <w:autoSpaceDN w:val="0"/>
              <w:spacing w:after="240" w:line="240" w:lineRule="auto"/>
              <w:ind w:left="288"/>
              <w:rPr>
                <w:rFonts w:ascii="Times New Roman" w:eastAsia="Times New Roman" w:hAnsi="Times New Roman" w:cs="Times New Roman"/>
                <w:sz w:val="24"/>
                <w:szCs w:val="24"/>
              </w:rPr>
            </w:pPr>
            <w:r w:rsidRPr="00D52458">
              <w:rPr>
                <w:rFonts w:ascii="Times New Roman" w:eastAsia="Times New Roman" w:hAnsi="Times New Roman" w:cs="Times New Roman"/>
                <w:sz w:val="24"/>
                <w:szCs w:val="24"/>
              </w:rPr>
              <w:t>0, 7 days, 21 through 30 days, 12 months</w:t>
            </w:r>
            <w:r w:rsidRPr="00D52458">
              <w:rPr>
                <w:rFonts w:ascii="Times New Roman" w:eastAsia="Times New Roman" w:hAnsi="Times New Roman" w:cs="Times New Roman"/>
                <w:position w:val="9"/>
                <w:sz w:val="24"/>
                <w:szCs w:val="24"/>
              </w:rPr>
              <w:t>5</w:t>
            </w:r>
          </w:p>
        </w:tc>
      </w:tr>
    </w:tbl>
    <w:p w:rsidR="00D52458" w:rsidRPr="00D52458" w:rsidRDefault="00D52458" w:rsidP="00D52458">
      <w:pPr>
        <w:keepNext/>
        <w:keepLines/>
        <w:autoSpaceDE w:val="0"/>
        <w:autoSpaceDN w:val="0"/>
        <w:adjustRightInd w:val="0"/>
        <w:spacing w:after="0" w:line="240" w:lineRule="auto"/>
        <w:rPr>
          <w:rFonts w:ascii="Times New Roman" w:eastAsia="Times New Roman" w:hAnsi="Times New Roman" w:cs="Times New Roman"/>
          <w:b/>
          <w:color w:val="000000"/>
          <w:sz w:val="24"/>
          <w:szCs w:val="20"/>
        </w:rPr>
      </w:pPr>
    </w:p>
    <w:p w:rsidR="00D52458" w:rsidRPr="00D52458" w:rsidRDefault="00D52458" w:rsidP="00D52458">
      <w:pPr>
        <w:autoSpaceDE w:val="0"/>
        <w:autoSpaceDN w:val="0"/>
        <w:adjustRightInd w:val="0"/>
        <w:spacing w:after="120" w:line="240" w:lineRule="auto"/>
        <w:ind w:left="720"/>
        <w:rPr>
          <w:rFonts w:ascii="Times New Roman" w:eastAsia="Times New Roman" w:hAnsi="Times New Roman" w:cs="Times New Roman"/>
          <w:b/>
          <w:color w:val="000000"/>
        </w:rPr>
      </w:pPr>
      <w:r w:rsidRPr="00D52458">
        <w:rPr>
          <w:rFonts w:ascii="Times New Roman" w:eastAsia="Times New Roman" w:hAnsi="Times New Roman" w:cs="Times New Roman"/>
          <w:b/>
          <w:color w:val="000000"/>
        </w:rPr>
        <w:t>*Table Notes:</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 xml:space="preserve">Children and adolescents </w:t>
      </w:r>
      <w:proofErr w:type="gramStart"/>
      <w:r w:rsidRPr="00D52458">
        <w:rPr>
          <w:rFonts w:ascii="Times New Roman" w:eastAsia="Times New Roman" w:hAnsi="Times New Roman" w:cs="Times New Roman"/>
          <w:color w:val="000000"/>
        </w:rPr>
        <w:t>may be vaccinated</w:t>
      </w:r>
      <w:proofErr w:type="gramEnd"/>
      <w:r w:rsidRPr="00D52458">
        <w:rPr>
          <w:rFonts w:ascii="Times New Roman" w:eastAsia="Times New Roman" w:hAnsi="Times New Roman" w:cs="Times New Roman"/>
          <w:color w:val="000000"/>
        </w:rPr>
        <w:t xml:space="preserve"> according to any of the schedules indicated, except as noted.  Selection of a schedule should consider the need to optimize compliance with vaccination.</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Pediatric/adolescent formulation.</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 xml:space="preserve">A two-dose schedule of </w:t>
      </w:r>
      <w:r w:rsidRPr="00D52458">
        <w:rPr>
          <w:rFonts w:ascii="Times New Roman" w:eastAsia="Times New Roman" w:hAnsi="Times New Roman" w:cs="Times New Roman"/>
          <w:b/>
          <w:color w:val="000000"/>
        </w:rPr>
        <w:t>RECOMBIVAX HB</w:t>
      </w:r>
      <w:r>
        <w:rPr>
          <w:rFonts w:ascii="Times New Roman" w:eastAsia="Times New Roman" w:hAnsi="Times New Roman" w:cs="Times New Roman"/>
          <w:color w:val="000000"/>
          <w:vertAlign w:val="superscript"/>
        </w:rPr>
        <w:t>®</w:t>
      </w:r>
      <w:r w:rsidRPr="00D52458">
        <w:rPr>
          <w:rFonts w:ascii="Times New Roman" w:eastAsia="Times New Roman" w:hAnsi="Times New Roman" w:cs="Times New Roman"/>
          <w:color w:val="000000"/>
        </w:rPr>
        <w:t xml:space="preserve"> Adult Formulation is (10 micrograms) is licensed for adolescents aged 11 through 15 years.  When scheduled to receive the second dose, adolescents aged more than 15 years </w:t>
      </w:r>
      <w:proofErr w:type="gramStart"/>
      <w:r w:rsidRPr="00D52458">
        <w:rPr>
          <w:rFonts w:ascii="Times New Roman" w:eastAsia="Times New Roman" w:hAnsi="Times New Roman" w:cs="Times New Roman"/>
          <w:color w:val="000000"/>
        </w:rPr>
        <w:t>should be switched</w:t>
      </w:r>
      <w:proofErr w:type="gramEnd"/>
      <w:r w:rsidRPr="00D52458">
        <w:rPr>
          <w:rFonts w:ascii="Times New Roman" w:eastAsia="Times New Roman" w:hAnsi="Times New Roman" w:cs="Times New Roman"/>
          <w:color w:val="000000"/>
        </w:rPr>
        <w:t xml:space="preserve"> to a three-dose series, with dose 2 and dose 3 consisting of the pediatric formulation administered on an appropriate schedule.</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 xml:space="preserve">A four-dose schedule of </w:t>
      </w:r>
      <w:r w:rsidRPr="00D52458">
        <w:rPr>
          <w:rFonts w:ascii="Times New Roman" w:eastAsia="Times New Roman" w:hAnsi="Times New Roman" w:cs="Times New Roman"/>
          <w:b/>
          <w:color w:val="000000"/>
        </w:rPr>
        <w:t>ENGERIX-B</w:t>
      </w:r>
      <w:r w:rsidRPr="00D52458">
        <w:rPr>
          <w:rFonts w:ascii="Times New Roman" w:eastAsia="Times New Roman" w:hAnsi="Times New Roman" w:cs="Times New Roman"/>
          <w:color w:val="000000"/>
          <w:vertAlign w:val="superscript"/>
        </w:rPr>
        <w:t>®</w:t>
      </w:r>
      <w:r w:rsidRPr="00D52458">
        <w:rPr>
          <w:rFonts w:ascii="Times New Roman" w:eastAsia="Times New Roman" w:hAnsi="Times New Roman" w:cs="Times New Roman"/>
          <w:color w:val="000000"/>
          <w:vertAlign w:val="superscript"/>
        </w:rPr>
        <w:t xml:space="preserve"> </w:t>
      </w:r>
      <w:proofErr w:type="gramStart"/>
      <w:r w:rsidRPr="00D52458">
        <w:rPr>
          <w:rFonts w:ascii="Times New Roman" w:eastAsia="Times New Roman" w:hAnsi="Times New Roman" w:cs="Times New Roman"/>
          <w:color w:val="000000"/>
        </w:rPr>
        <w:t>is licensed</w:t>
      </w:r>
      <w:proofErr w:type="gramEnd"/>
      <w:r w:rsidRPr="00D52458">
        <w:rPr>
          <w:rFonts w:ascii="Times New Roman" w:eastAsia="Times New Roman" w:hAnsi="Times New Roman" w:cs="Times New Roman"/>
          <w:color w:val="000000"/>
        </w:rPr>
        <w:t xml:space="preserve"> for all age groups.</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TWINRIX</w:t>
      </w:r>
      <w:r>
        <w:rPr>
          <w:rFonts w:ascii="Times New Roman" w:eastAsia="Times New Roman" w:hAnsi="Times New Roman" w:cs="Times New Roman"/>
          <w:color w:val="000000"/>
          <w:vertAlign w:val="superscript"/>
        </w:rPr>
        <w:t>®</w:t>
      </w:r>
      <w:r w:rsidRPr="00D52458">
        <w:rPr>
          <w:rFonts w:ascii="Times New Roman" w:eastAsia="Times New Roman" w:hAnsi="Times New Roman" w:cs="Times New Roman"/>
          <w:color w:val="000000"/>
        </w:rPr>
        <w:t xml:space="preserve"> can be administered to persons 18 years of age or older before travel or any other potential exposure on an accelerated schedule at 0, 7, and 21 to 30 days, followed by a booster dose 12 months after the first dose.</w:t>
      </w:r>
    </w:p>
    <w:p w:rsidR="00D52458" w:rsidRPr="00D52458" w:rsidRDefault="00D52458" w:rsidP="00D52458">
      <w:pPr>
        <w:numPr>
          <w:ilvl w:val="0"/>
          <w:numId w:val="13"/>
        </w:numPr>
        <w:autoSpaceDE w:val="0"/>
        <w:autoSpaceDN w:val="0"/>
        <w:adjustRightInd w:val="0"/>
        <w:spacing w:after="120" w:line="240" w:lineRule="auto"/>
        <w:ind w:left="1224"/>
        <w:rPr>
          <w:rFonts w:ascii="Times New Roman" w:eastAsia="Times New Roman" w:hAnsi="Times New Roman" w:cs="Times New Roman"/>
          <w:color w:val="000000"/>
        </w:rPr>
      </w:pPr>
      <w:r w:rsidRPr="00D52458">
        <w:rPr>
          <w:rFonts w:ascii="Times New Roman" w:eastAsia="Times New Roman" w:hAnsi="Times New Roman" w:cs="Times New Roman"/>
          <w:color w:val="000000"/>
        </w:rPr>
        <w:t xml:space="preserve">Use of brand names </w:t>
      </w:r>
      <w:proofErr w:type="gramStart"/>
      <w:r w:rsidRPr="00D52458">
        <w:rPr>
          <w:rFonts w:ascii="Times New Roman" w:eastAsia="Times New Roman" w:hAnsi="Times New Roman" w:cs="Times New Roman"/>
          <w:color w:val="000000"/>
        </w:rPr>
        <w:t>is not meant</w:t>
      </w:r>
      <w:proofErr w:type="gramEnd"/>
      <w:r w:rsidRPr="00D52458">
        <w:rPr>
          <w:rFonts w:ascii="Times New Roman" w:eastAsia="Times New Roman" w:hAnsi="Times New Roman" w:cs="Times New Roman"/>
          <w:color w:val="000000"/>
        </w:rPr>
        <w:t xml:space="preserve"> to preclude the use of other comparable US licensed vaccines.</w:t>
      </w:r>
    </w:p>
    <w:p w:rsidR="00D52458" w:rsidRPr="00D52458" w:rsidRDefault="00D52458" w:rsidP="00D52458">
      <w:pPr>
        <w:autoSpaceDE w:val="0"/>
        <w:autoSpaceDN w:val="0"/>
        <w:adjustRightInd w:val="0"/>
        <w:spacing w:before="60" w:after="60" w:line="240" w:lineRule="auto"/>
        <w:ind w:left="1368"/>
        <w:rPr>
          <w:rFonts w:ascii="Times New Roman" w:eastAsia="Times New Roman" w:hAnsi="Times New Roman" w:cs="Times New Roman"/>
          <w:b/>
          <w:color w:val="000000"/>
          <w:u w:val="single"/>
        </w:rPr>
      </w:pPr>
    </w:p>
    <w:p w:rsidR="00D52458" w:rsidRPr="00D52458" w:rsidRDefault="00D52458" w:rsidP="00D52458">
      <w:pPr>
        <w:autoSpaceDE w:val="0"/>
        <w:autoSpaceDN w:val="0"/>
        <w:adjustRightInd w:val="0"/>
        <w:spacing w:before="60" w:after="60" w:line="240" w:lineRule="auto"/>
        <w:ind w:left="1440"/>
        <w:rPr>
          <w:rFonts w:ascii="Times New Roman" w:eastAsia="Times New Roman" w:hAnsi="Times New Roman" w:cs="Times New Roman"/>
          <w:color w:val="000000"/>
        </w:rPr>
      </w:pP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rPr>
      </w:pPr>
    </w:p>
    <w:p w:rsidR="00D52458" w:rsidRPr="00D52458" w:rsidRDefault="00D52458" w:rsidP="00D52458">
      <w:pPr>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br w:type="page"/>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lastRenderedPageBreak/>
        <w:t>Interrupted schedules and minimum dosing intervals</w:t>
      </w:r>
    </w:p>
    <w:p w:rsidR="00D52458" w:rsidRPr="00D52458" w:rsidRDefault="00D52458" w:rsidP="00D52458">
      <w:pPr>
        <w:numPr>
          <w:ilvl w:val="0"/>
          <w:numId w:val="14"/>
        </w:numPr>
        <w:autoSpaceDE w:val="0"/>
        <w:autoSpaceDN w:val="0"/>
        <w:adjustRightInd w:val="0"/>
        <w:spacing w:after="120" w:line="240" w:lineRule="auto"/>
        <w:contextualSpacing/>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When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schedule </w:t>
      </w:r>
      <w:proofErr w:type="gramStart"/>
      <w:r w:rsidRPr="00D52458">
        <w:rPr>
          <w:rFonts w:ascii="Times New Roman" w:eastAsia="Times New Roman" w:hAnsi="Times New Roman" w:cs="Times New Roman"/>
          <w:color w:val="000000"/>
          <w:sz w:val="24"/>
          <w:szCs w:val="20"/>
        </w:rPr>
        <w:t>is interrupted</w:t>
      </w:r>
      <w:proofErr w:type="gramEnd"/>
      <w:r w:rsidRPr="00D52458">
        <w:rPr>
          <w:rFonts w:ascii="Times New Roman" w:eastAsia="Times New Roman" w:hAnsi="Times New Roman" w:cs="Times New Roman"/>
          <w:color w:val="000000"/>
          <w:sz w:val="24"/>
          <w:szCs w:val="20"/>
        </w:rPr>
        <w:t xml:space="preserve">, the vaccine series does not need to be restarted.  If the series </w:t>
      </w:r>
      <w:proofErr w:type="gramStart"/>
      <w:r w:rsidRPr="00D52458">
        <w:rPr>
          <w:rFonts w:ascii="Times New Roman" w:eastAsia="Times New Roman" w:hAnsi="Times New Roman" w:cs="Times New Roman"/>
          <w:color w:val="000000"/>
          <w:sz w:val="24"/>
          <w:szCs w:val="20"/>
        </w:rPr>
        <w:t>is interrupted</w:t>
      </w:r>
      <w:proofErr w:type="gramEnd"/>
      <w:r w:rsidRPr="00D52458">
        <w:rPr>
          <w:rFonts w:ascii="Times New Roman" w:eastAsia="Times New Roman" w:hAnsi="Times New Roman" w:cs="Times New Roman"/>
          <w:color w:val="000000"/>
          <w:sz w:val="24"/>
          <w:szCs w:val="20"/>
        </w:rPr>
        <w:t xml:space="preserve"> after the first dose, the second dose should be administered as soon as possible, and the second and third doses should be separated by an interval of at least eight weeks.  If only the third dose </w:t>
      </w:r>
      <w:proofErr w:type="gramStart"/>
      <w:r w:rsidRPr="00D52458">
        <w:rPr>
          <w:rFonts w:ascii="Times New Roman" w:eastAsia="Times New Roman" w:hAnsi="Times New Roman" w:cs="Times New Roman"/>
          <w:color w:val="000000"/>
          <w:sz w:val="24"/>
          <w:szCs w:val="20"/>
        </w:rPr>
        <w:t>has been delayed</w:t>
      </w:r>
      <w:proofErr w:type="gramEnd"/>
      <w:r w:rsidRPr="00D52458">
        <w:rPr>
          <w:rFonts w:ascii="Times New Roman" w:eastAsia="Times New Roman" w:hAnsi="Times New Roman" w:cs="Times New Roman"/>
          <w:color w:val="000000"/>
          <w:sz w:val="24"/>
          <w:szCs w:val="20"/>
        </w:rPr>
        <w:t>, it should be administered as soon as possible.</w:t>
      </w:r>
    </w:p>
    <w:p w:rsidR="00D52458" w:rsidRPr="00D52458" w:rsidRDefault="00D52458" w:rsidP="00D52458">
      <w:pPr>
        <w:numPr>
          <w:ilvl w:val="0"/>
          <w:numId w:val="14"/>
        </w:numPr>
        <w:autoSpaceDE w:val="0"/>
        <w:autoSpaceDN w:val="0"/>
        <w:adjustRightInd w:val="0"/>
        <w:spacing w:after="120" w:line="240" w:lineRule="auto"/>
        <w:contextualSpacing/>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The final dose of vaccine </w:t>
      </w:r>
      <w:proofErr w:type="gramStart"/>
      <w:r w:rsidRPr="00D52458">
        <w:rPr>
          <w:rFonts w:ascii="Times New Roman" w:eastAsia="Times New Roman" w:hAnsi="Times New Roman" w:cs="Times New Roman"/>
          <w:color w:val="000000"/>
          <w:sz w:val="24"/>
          <w:szCs w:val="20"/>
        </w:rPr>
        <w:t>must be administered</w:t>
      </w:r>
      <w:proofErr w:type="gramEnd"/>
      <w:r w:rsidRPr="00D52458">
        <w:rPr>
          <w:rFonts w:ascii="Times New Roman" w:eastAsia="Times New Roman" w:hAnsi="Times New Roman" w:cs="Times New Roman"/>
          <w:color w:val="000000"/>
          <w:sz w:val="24"/>
          <w:szCs w:val="20"/>
        </w:rPr>
        <w:t xml:space="preserve"> at least eight weeks after the second dose and should follow the first dose by at least 16 weeks; the minimum interval between the first and second doses is four weeks.  Inadequate doses of Hepatitis B vaccine or doses received after a shorter than recommended dosing interval should be re-administered, using the correct dosage or schedule.</w:t>
      </w:r>
    </w:p>
    <w:p w:rsidR="00D52458" w:rsidRPr="00D52458" w:rsidRDefault="00D52458" w:rsidP="00D52458">
      <w:pPr>
        <w:numPr>
          <w:ilvl w:val="0"/>
          <w:numId w:val="14"/>
        </w:numPr>
        <w:autoSpaceDE w:val="0"/>
        <w:autoSpaceDN w:val="0"/>
        <w:adjustRightInd w:val="0"/>
        <w:spacing w:after="120" w:line="240" w:lineRule="auto"/>
        <w:contextualSpacing/>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Vaccine doses administered 4 days or less before the minimum interval or age </w:t>
      </w:r>
      <w:proofErr w:type="gramStart"/>
      <w:r w:rsidRPr="00D52458">
        <w:rPr>
          <w:rFonts w:ascii="Times New Roman" w:eastAsia="Times New Roman" w:hAnsi="Times New Roman" w:cs="Times New Roman"/>
          <w:color w:val="000000"/>
          <w:sz w:val="24"/>
          <w:szCs w:val="20"/>
        </w:rPr>
        <w:t>are considered</w:t>
      </w:r>
      <w:proofErr w:type="gramEnd"/>
      <w:r w:rsidRPr="00D52458">
        <w:rPr>
          <w:rFonts w:ascii="Times New Roman" w:eastAsia="Times New Roman" w:hAnsi="Times New Roman" w:cs="Times New Roman"/>
          <w:color w:val="000000"/>
          <w:sz w:val="24"/>
          <w:szCs w:val="20"/>
        </w:rPr>
        <w:t xml:space="preserve"> valid.  Because of the unique accelerated schedule for TWINRIX</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the </w:t>
      </w:r>
      <w:proofErr w:type="gramStart"/>
      <w:r w:rsidRPr="00D52458">
        <w:rPr>
          <w:rFonts w:ascii="Times New Roman" w:eastAsia="Times New Roman" w:hAnsi="Times New Roman" w:cs="Times New Roman"/>
          <w:color w:val="000000"/>
          <w:sz w:val="24"/>
          <w:szCs w:val="20"/>
        </w:rPr>
        <w:t>four-day</w:t>
      </w:r>
      <w:proofErr w:type="gramEnd"/>
      <w:r w:rsidRPr="00D52458">
        <w:rPr>
          <w:rFonts w:ascii="Times New Roman" w:eastAsia="Times New Roman" w:hAnsi="Times New Roman" w:cs="Times New Roman"/>
          <w:color w:val="000000"/>
          <w:sz w:val="24"/>
          <w:szCs w:val="20"/>
        </w:rPr>
        <w:t xml:space="preserve"> guideline does not apply to the first three doses of this vaccine when administered on a 0 day, 7 day, 21 to 30 day, and 12 month schedule.</w:t>
      </w:r>
    </w:p>
    <w:p w:rsidR="00D52458" w:rsidRPr="00D52458" w:rsidRDefault="00D52458" w:rsidP="00D52458">
      <w:pPr>
        <w:numPr>
          <w:ilvl w:val="0"/>
          <w:numId w:val="14"/>
        </w:numPr>
        <w:autoSpaceDE w:val="0"/>
        <w:autoSpaceDN w:val="0"/>
        <w:adjustRightInd w:val="0"/>
        <w:spacing w:after="120" w:line="240" w:lineRule="auto"/>
        <w:contextualSpacing/>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In infants, administration of the final dose </w:t>
      </w:r>
      <w:proofErr w:type="gramStart"/>
      <w:r w:rsidRPr="00D52458">
        <w:rPr>
          <w:rFonts w:ascii="Times New Roman" w:eastAsia="Times New Roman" w:hAnsi="Times New Roman" w:cs="Times New Roman"/>
          <w:color w:val="000000"/>
          <w:sz w:val="24"/>
          <w:szCs w:val="20"/>
        </w:rPr>
        <w:t>is not recommended</w:t>
      </w:r>
      <w:proofErr w:type="gramEnd"/>
      <w:r w:rsidRPr="00D52458">
        <w:rPr>
          <w:rFonts w:ascii="Times New Roman" w:eastAsia="Times New Roman" w:hAnsi="Times New Roman" w:cs="Times New Roman"/>
          <w:color w:val="000000"/>
          <w:sz w:val="24"/>
          <w:szCs w:val="20"/>
        </w:rPr>
        <w:t xml:space="preserve"> before age 24 weeks (164 days).</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t>Hepatitis B Vaccination Schedule for Healthcare Personnel (HCP)</w:t>
      </w: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Cs/>
          <w:color w:val="000000"/>
          <w:sz w:val="24"/>
          <w:szCs w:val="24"/>
        </w:rPr>
        <w:t xml:space="preserve">The Occupational Safety and Health Administration mandates that employers offer </w:t>
      </w:r>
      <w:proofErr w:type="spellStart"/>
      <w:r w:rsidRPr="00D52458">
        <w:rPr>
          <w:rFonts w:ascii="Times New Roman" w:eastAsia="Times New Roman" w:hAnsi="Times New Roman" w:cs="Times New Roman"/>
          <w:bCs/>
          <w:color w:val="000000"/>
          <w:sz w:val="24"/>
          <w:szCs w:val="24"/>
        </w:rPr>
        <w:t>HepB</w:t>
      </w:r>
      <w:proofErr w:type="spellEnd"/>
      <w:r w:rsidRPr="00D52458">
        <w:rPr>
          <w:rFonts w:ascii="Times New Roman" w:eastAsia="Times New Roman" w:hAnsi="Times New Roman" w:cs="Times New Roman"/>
          <w:bCs/>
          <w:color w:val="000000"/>
          <w:sz w:val="24"/>
          <w:szCs w:val="24"/>
        </w:rPr>
        <w:t xml:space="preserve"> vaccination to all employees who have occupational risk and that post exposure prophylaxis be available following an exposure</w:t>
      </w:r>
      <w:r w:rsidRPr="00D52458">
        <w:rPr>
          <w:rFonts w:ascii="Times New Roman" w:eastAsia="Times New Roman" w:hAnsi="Times New Roman" w:cs="Times New Roman"/>
          <w:b/>
          <w:color w:val="000000"/>
          <w:sz w:val="24"/>
          <w:szCs w:val="20"/>
        </w:rPr>
        <w:t>.</w:t>
      </w:r>
    </w:p>
    <w:p w:rsidR="00D52458" w:rsidRPr="00D52458" w:rsidRDefault="00D52458" w:rsidP="00D52458">
      <w:pPr>
        <w:numPr>
          <w:ilvl w:val="0"/>
          <w:numId w:val="1"/>
        </w:numPr>
        <w:autoSpaceDE w:val="0"/>
        <w:autoSpaceDN w:val="0"/>
        <w:adjustRightInd w:val="0"/>
        <w:spacing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Healthcare Personnel who perform tasks that may involve exposure to blood or body fluids should receive a 3-dose series of hepatitis B vaccine at 0-, 1- and 6-month intervals.  Test for antibody to hepatitis B surface antigen (i.e., quantitative anti-HBs) to document immunity 1 to 2 months after dose #3.  </w:t>
      </w:r>
    </w:p>
    <w:p w:rsidR="00D52458" w:rsidRPr="00D52458" w:rsidRDefault="00D52458" w:rsidP="00D52458">
      <w:pPr>
        <w:numPr>
          <w:ilvl w:val="1"/>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anti-HBs is 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 xml:space="preserve">/mL or more (positive), the patient is immune.  No further serologic testing or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vaccination </w:t>
      </w:r>
      <w:proofErr w:type="gramStart"/>
      <w:r w:rsidRPr="00D52458">
        <w:rPr>
          <w:rFonts w:ascii="Times New Roman" w:eastAsia="Times New Roman" w:hAnsi="Times New Roman" w:cs="Times New Roman"/>
          <w:color w:val="000000"/>
          <w:sz w:val="24"/>
          <w:szCs w:val="24"/>
        </w:rPr>
        <w:t>is recommended</w:t>
      </w:r>
      <w:proofErr w:type="gramEnd"/>
      <w:r w:rsidRPr="00D52458">
        <w:rPr>
          <w:rFonts w:ascii="Times New Roman" w:eastAsia="Times New Roman" w:hAnsi="Times New Roman" w:cs="Times New Roman"/>
          <w:color w:val="000000"/>
          <w:sz w:val="24"/>
          <w:szCs w:val="24"/>
        </w:rPr>
        <w:t>.</w:t>
      </w:r>
    </w:p>
    <w:p w:rsidR="00D52458" w:rsidRPr="00D52458" w:rsidRDefault="00D52458" w:rsidP="00D52458">
      <w:pPr>
        <w:numPr>
          <w:ilvl w:val="1"/>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anti-HBs is less than 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/mL (negative), the patient is unprotected from hepatitis B virus (HBV) infection</w:t>
      </w:r>
      <w:proofErr w:type="gramStart"/>
      <w:r w:rsidRPr="00D52458">
        <w:rPr>
          <w:rFonts w:ascii="Times New Roman" w:eastAsia="Times New Roman" w:hAnsi="Times New Roman" w:cs="Times New Roman"/>
          <w:color w:val="000000"/>
          <w:sz w:val="24"/>
          <w:szCs w:val="24"/>
        </w:rPr>
        <w:t>;</w:t>
      </w:r>
      <w:proofErr w:type="gramEnd"/>
      <w:r w:rsidRPr="00D52458">
        <w:rPr>
          <w:rFonts w:ascii="Times New Roman" w:eastAsia="Times New Roman" w:hAnsi="Times New Roman" w:cs="Times New Roman"/>
          <w:color w:val="000000"/>
          <w:sz w:val="24"/>
          <w:szCs w:val="24"/>
        </w:rPr>
        <w:t xml:space="preserve"> revaccinate with a second complete 3-dose series.  Retest (i.e., quantitative anti-HBs) 1 to 2 months after dose #3 of the second 3-dose series (i.e., after </w:t>
      </w:r>
      <w:proofErr w:type="gramStart"/>
      <w:r w:rsidRPr="00D52458">
        <w:rPr>
          <w:rFonts w:ascii="Times New Roman" w:eastAsia="Times New Roman" w:hAnsi="Times New Roman" w:cs="Times New Roman"/>
          <w:color w:val="000000"/>
          <w:sz w:val="24"/>
          <w:szCs w:val="24"/>
        </w:rPr>
        <w:t>a total of 6</w:t>
      </w:r>
      <w:proofErr w:type="gramEnd"/>
      <w:r w:rsidRPr="00D52458">
        <w:rPr>
          <w:rFonts w:ascii="Times New Roman" w:eastAsia="Times New Roman" w:hAnsi="Times New Roman" w:cs="Times New Roman"/>
          <w:color w:val="000000"/>
          <w:sz w:val="24"/>
          <w:szCs w:val="24"/>
        </w:rPr>
        <w:t xml:space="preserve"> doses of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w:t>
      </w:r>
    </w:p>
    <w:p w:rsidR="00D52458" w:rsidRPr="00D52458" w:rsidRDefault="00D52458" w:rsidP="00D52458">
      <w:pPr>
        <w:numPr>
          <w:ilvl w:val="2"/>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anti-HBs is 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 xml:space="preserve">/mL or more (positive), the patient is immune.  No further testing or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vaccination </w:t>
      </w:r>
      <w:proofErr w:type="gramStart"/>
      <w:r w:rsidRPr="00D52458">
        <w:rPr>
          <w:rFonts w:ascii="Times New Roman" w:eastAsia="Times New Roman" w:hAnsi="Times New Roman" w:cs="Times New Roman"/>
          <w:color w:val="000000"/>
          <w:sz w:val="24"/>
          <w:szCs w:val="24"/>
        </w:rPr>
        <w:t>is recommended</w:t>
      </w:r>
      <w:proofErr w:type="gramEnd"/>
      <w:r w:rsidRPr="00D52458">
        <w:rPr>
          <w:rFonts w:ascii="Times New Roman" w:eastAsia="Times New Roman" w:hAnsi="Times New Roman" w:cs="Times New Roman"/>
          <w:color w:val="000000"/>
          <w:sz w:val="24"/>
          <w:szCs w:val="24"/>
        </w:rPr>
        <w:t>.</w:t>
      </w:r>
    </w:p>
    <w:p w:rsidR="00D52458" w:rsidRPr="00D52458" w:rsidRDefault="00D52458" w:rsidP="00D52458">
      <w:pPr>
        <w:numPr>
          <w:ilvl w:val="2"/>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anti-HBs is less than 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 xml:space="preserve">/mL (negative), after </w:t>
      </w:r>
      <w:proofErr w:type="gramStart"/>
      <w:r w:rsidRPr="00D52458">
        <w:rPr>
          <w:rFonts w:ascii="Times New Roman" w:eastAsia="Times New Roman" w:hAnsi="Times New Roman" w:cs="Times New Roman"/>
          <w:color w:val="000000"/>
          <w:sz w:val="24"/>
          <w:szCs w:val="24"/>
        </w:rPr>
        <w:t>6</w:t>
      </w:r>
      <w:proofErr w:type="gramEnd"/>
      <w:r w:rsidRPr="00D52458">
        <w:rPr>
          <w:rFonts w:ascii="Times New Roman" w:eastAsia="Times New Roman" w:hAnsi="Times New Roman" w:cs="Times New Roman"/>
          <w:color w:val="000000"/>
          <w:sz w:val="24"/>
          <w:szCs w:val="24"/>
        </w:rPr>
        <w:t xml:space="preserve"> doses of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patient is a non-responder.</w:t>
      </w:r>
    </w:p>
    <w:p w:rsidR="00D52458" w:rsidRPr="00D52458" w:rsidRDefault="00D52458" w:rsidP="00D52458">
      <w:pPr>
        <w:keepNext/>
        <w:keepLines/>
        <w:numPr>
          <w:ilvl w:val="2"/>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lastRenderedPageBreak/>
        <w:t xml:space="preserve">Wounds and skin sites that have been in contact with blood or body fluids </w:t>
      </w:r>
      <w:proofErr w:type="gramStart"/>
      <w:r w:rsidRPr="00D52458">
        <w:rPr>
          <w:rFonts w:ascii="Times New Roman" w:eastAsia="Times New Roman" w:hAnsi="Times New Roman" w:cs="Times New Roman"/>
          <w:color w:val="000000"/>
          <w:sz w:val="24"/>
          <w:szCs w:val="24"/>
        </w:rPr>
        <w:t>should be washed</w:t>
      </w:r>
      <w:proofErr w:type="gramEnd"/>
      <w:r w:rsidRPr="00D52458">
        <w:rPr>
          <w:rFonts w:ascii="Times New Roman" w:eastAsia="Times New Roman" w:hAnsi="Times New Roman" w:cs="Times New Roman"/>
          <w:color w:val="000000"/>
          <w:sz w:val="24"/>
          <w:szCs w:val="24"/>
        </w:rPr>
        <w:t xml:space="preserve"> with soap and water: mucous membranes should be flushed with water.  Using antiseptics (e.g., 2%-4% chlorhexidine) for wound care or expressing fluid by squeezing the wound further </w:t>
      </w:r>
      <w:proofErr w:type="gramStart"/>
      <w:r w:rsidRPr="00D52458">
        <w:rPr>
          <w:rFonts w:ascii="Times New Roman" w:eastAsia="Times New Roman" w:hAnsi="Times New Roman" w:cs="Times New Roman"/>
          <w:color w:val="000000"/>
          <w:sz w:val="24"/>
          <w:szCs w:val="24"/>
        </w:rPr>
        <w:t>have not been shown</w:t>
      </w:r>
      <w:proofErr w:type="gramEnd"/>
      <w:r w:rsidRPr="00D52458">
        <w:rPr>
          <w:rFonts w:ascii="Times New Roman" w:eastAsia="Times New Roman" w:hAnsi="Times New Roman" w:cs="Times New Roman"/>
          <w:color w:val="000000"/>
          <w:sz w:val="24"/>
          <w:szCs w:val="24"/>
        </w:rPr>
        <w:t xml:space="preserve"> to reduce the risk for HBV transmission; however, the use of antiseptics is not contraindicated.  The application of caustic agents (e.g., bleach) or the injection of antiseptics or disinfectants into the wound is not recommended.  </w:t>
      </w:r>
    </w:p>
    <w:p w:rsidR="00D52458" w:rsidRPr="00D52458" w:rsidRDefault="00D52458" w:rsidP="00D52458">
      <w:pPr>
        <w:numPr>
          <w:ilvl w:val="1"/>
          <w:numId w:val="1"/>
        </w:numPr>
        <w:autoSpaceDE w:val="0"/>
        <w:autoSpaceDN w:val="0"/>
        <w:adjustRightInd w:val="0"/>
        <w:spacing w:before="60" w:after="6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b/>
          <w:color w:val="000000"/>
          <w:sz w:val="24"/>
          <w:szCs w:val="24"/>
        </w:rPr>
        <w:t xml:space="preserve">For non-responders:  </w:t>
      </w:r>
      <w:r w:rsidRPr="00D52458">
        <w:rPr>
          <w:rFonts w:ascii="Times New Roman" w:eastAsia="Times New Roman" w:hAnsi="Times New Roman" w:cs="Times New Roman"/>
          <w:color w:val="000000"/>
          <w:sz w:val="24"/>
          <w:szCs w:val="24"/>
        </w:rPr>
        <w:t>HCP who are non-responders should be considered susceptible to HBV and should be counseled regarding precautions to prevent HBV infections and the need to obtain HBIG prophylaxis for any known or probably parenteral exposure to hepatitis B surface antigen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)-positive blood.</w:t>
      </w:r>
      <w:r w:rsidRPr="00D52458">
        <w:rPr>
          <w:rFonts w:ascii="Times New Roman Bold" w:eastAsia="Times New Roman" w:hAnsi="Times New Roman Bold" w:cs="Times New Roman"/>
          <w:b/>
          <w:color w:val="000000"/>
          <w:sz w:val="24"/>
          <w:szCs w:val="24"/>
          <w:vertAlign w:val="superscript"/>
        </w:rPr>
        <w:t xml:space="preserve">  </w:t>
      </w:r>
      <w:r w:rsidRPr="00D52458">
        <w:rPr>
          <w:rFonts w:ascii="Times New Roman" w:eastAsia="Times New Roman" w:hAnsi="Times New Roman" w:cs="Times New Roman"/>
          <w:color w:val="000000"/>
          <w:sz w:val="24"/>
          <w:szCs w:val="24"/>
        </w:rPr>
        <w:t xml:space="preserve">  It is also possible that non-responders are people who are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positive.  Testing </w:t>
      </w:r>
      <w:proofErr w:type="gramStart"/>
      <w:r w:rsidRPr="00D52458">
        <w:rPr>
          <w:rFonts w:ascii="Times New Roman" w:eastAsia="Times New Roman" w:hAnsi="Times New Roman" w:cs="Times New Roman"/>
          <w:color w:val="000000"/>
          <w:sz w:val="24"/>
          <w:szCs w:val="24"/>
        </w:rPr>
        <w:t>should be considered</w:t>
      </w:r>
      <w:proofErr w:type="gramEnd"/>
      <w:r w:rsidRPr="00D52458">
        <w:rPr>
          <w:rFonts w:ascii="Times New Roman" w:eastAsia="Times New Roman" w:hAnsi="Times New Roman" w:cs="Times New Roman"/>
          <w:color w:val="000000"/>
          <w:sz w:val="24"/>
          <w:szCs w:val="24"/>
        </w:rPr>
        <w:t xml:space="preserve">.  HCP found to be </w:t>
      </w:r>
      <w:proofErr w:type="spellStart"/>
      <w:r w:rsidRPr="00D52458">
        <w:rPr>
          <w:rFonts w:ascii="Times New Roman" w:eastAsia="Times New Roman" w:hAnsi="Times New Roman" w:cs="Times New Roman"/>
          <w:color w:val="000000"/>
          <w:sz w:val="24"/>
          <w:szCs w:val="24"/>
        </w:rPr>
        <w:t>HBsAg</w:t>
      </w:r>
      <w:proofErr w:type="spellEnd"/>
      <w:r w:rsidRPr="00D52458">
        <w:rPr>
          <w:rFonts w:ascii="Times New Roman" w:eastAsia="Times New Roman" w:hAnsi="Times New Roman" w:cs="Times New Roman"/>
          <w:color w:val="000000"/>
          <w:sz w:val="24"/>
          <w:szCs w:val="24"/>
        </w:rPr>
        <w:t xml:space="preserve"> positive </w:t>
      </w:r>
      <w:proofErr w:type="gramStart"/>
      <w:r w:rsidRPr="00D52458">
        <w:rPr>
          <w:rFonts w:ascii="Times New Roman" w:eastAsia="Times New Roman" w:hAnsi="Times New Roman" w:cs="Times New Roman"/>
          <w:color w:val="000000"/>
          <w:sz w:val="24"/>
          <w:szCs w:val="24"/>
        </w:rPr>
        <w:t>should be counseled and medically evaluated</w:t>
      </w:r>
      <w:proofErr w:type="gramEnd"/>
      <w:r w:rsidRPr="00D52458">
        <w:rPr>
          <w:rFonts w:ascii="Times New Roman" w:eastAsia="Times New Roman" w:hAnsi="Times New Roman" w:cs="Times New Roman"/>
          <w:color w:val="000000"/>
          <w:sz w:val="24"/>
          <w:szCs w:val="24"/>
        </w:rPr>
        <w:t xml:space="preserve">.  </w:t>
      </w:r>
    </w:p>
    <w:p w:rsidR="00D52458" w:rsidRPr="00D52458" w:rsidRDefault="00D52458" w:rsidP="00D52458">
      <w:pPr>
        <w:autoSpaceDE w:val="0"/>
        <w:autoSpaceDN w:val="0"/>
        <w:adjustRightInd w:val="0"/>
        <w:spacing w:before="60" w:after="60" w:line="240" w:lineRule="auto"/>
        <w:ind w:left="1440"/>
        <w:rPr>
          <w:rFonts w:ascii="Times New Roman" w:eastAsia="Times New Roman" w:hAnsi="Times New Roman" w:cs="Times New Roman"/>
          <w:color w:val="000000"/>
          <w:sz w:val="24"/>
          <w:szCs w:val="24"/>
        </w:rPr>
      </w:pPr>
    </w:p>
    <w:p w:rsidR="00D52458" w:rsidRPr="00D52458" w:rsidRDefault="00D52458" w:rsidP="00D52458">
      <w:pPr>
        <w:keepNext/>
        <w:keepLines/>
        <w:autoSpaceDE w:val="0"/>
        <w:autoSpaceDN w:val="0"/>
        <w:adjustRightInd w:val="0"/>
        <w:spacing w:after="80" w:line="181" w:lineRule="atLeast"/>
        <w:rPr>
          <w:rFonts w:ascii="Myriad Pro Light" w:hAnsi="Myriad Pro Light"/>
          <w:sz w:val="24"/>
          <w:szCs w:val="24"/>
        </w:rPr>
      </w:pPr>
      <w:r w:rsidRPr="00D52458">
        <w:rPr>
          <w:rFonts w:ascii="Times New Roman" w:hAnsi="Times New Roman" w:cs="Times New Roman"/>
          <w:b/>
          <w:sz w:val="24"/>
          <w:szCs w:val="24"/>
        </w:rPr>
        <w:t xml:space="preserve">Note:  </w:t>
      </w:r>
      <w:r w:rsidRPr="00D52458">
        <w:rPr>
          <w:rFonts w:ascii="Times New Roman" w:hAnsi="Times New Roman" w:cs="Times New Roman"/>
          <w:sz w:val="24"/>
          <w:szCs w:val="24"/>
        </w:rPr>
        <w:t xml:space="preserve">Anti-HBs testing is not recommended routinely for previously vaccinated HCP (who have written documentation of a complete </w:t>
      </w:r>
      <w:proofErr w:type="spellStart"/>
      <w:r w:rsidRPr="00D52458">
        <w:rPr>
          <w:rFonts w:ascii="Times New Roman" w:hAnsi="Times New Roman" w:cs="Times New Roman"/>
          <w:sz w:val="24"/>
          <w:szCs w:val="24"/>
        </w:rPr>
        <w:t>HepB</w:t>
      </w:r>
      <w:proofErr w:type="spellEnd"/>
      <w:r w:rsidRPr="00D52458">
        <w:rPr>
          <w:rFonts w:ascii="Times New Roman" w:hAnsi="Times New Roman" w:cs="Times New Roman"/>
          <w:sz w:val="24"/>
          <w:szCs w:val="24"/>
        </w:rPr>
        <w:t xml:space="preserve"> vaccine series) and were not tested 1 to 2 months after their original vaccine series.  These HCP </w:t>
      </w:r>
      <w:proofErr w:type="gramStart"/>
      <w:r w:rsidRPr="00D52458">
        <w:rPr>
          <w:rFonts w:ascii="Times New Roman" w:hAnsi="Times New Roman" w:cs="Times New Roman"/>
          <w:sz w:val="24"/>
          <w:szCs w:val="24"/>
        </w:rPr>
        <w:t>should be tested</w:t>
      </w:r>
      <w:proofErr w:type="gramEnd"/>
      <w:r w:rsidRPr="00D52458">
        <w:rPr>
          <w:rFonts w:ascii="Times New Roman" w:hAnsi="Times New Roman" w:cs="Times New Roman"/>
          <w:sz w:val="24"/>
          <w:szCs w:val="24"/>
        </w:rPr>
        <w:t xml:space="preserve"> for anti-HBs and the source patient (if known) should be tested for </w:t>
      </w:r>
      <w:proofErr w:type="spellStart"/>
      <w:r w:rsidRPr="00D52458">
        <w:rPr>
          <w:rFonts w:ascii="Times New Roman" w:hAnsi="Times New Roman" w:cs="Times New Roman"/>
          <w:sz w:val="24"/>
          <w:szCs w:val="24"/>
        </w:rPr>
        <w:t>HBsAg</w:t>
      </w:r>
      <w:proofErr w:type="spellEnd"/>
      <w:r w:rsidRPr="00D52458">
        <w:rPr>
          <w:rFonts w:ascii="Times New Roman" w:hAnsi="Times New Roman" w:cs="Times New Roman"/>
          <w:sz w:val="24"/>
          <w:szCs w:val="24"/>
        </w:rPr>
        <w:t xml:space="preserve"> as soon as possible after exposure.  Anti-HBs testing </w:t>
      </w:r>
      <w:proofErr w:type="gramStart"/>
      <w:r w:rsidRPr="00D52458">
        <w:rPr>
          <w:rFonts w:ascii="Times New Roman" w:hAnsi="Times New Roman" w:cs="Times New Roman"/>
          <w:sz w:val="24"/>
          <w:szCs w:val="24"/>
        </w:rPr>
        <w:t>should be performed</w:t>
      </w:r>
      <w:proofErr w:type="gramEnd"/>
      <w:r w:rsidRPr="00D52458">
        <w:rPr>
          <w:rFonts w:ascii="Times New Roman" w:hAnsi="Times New Roman" w:cs="Times New Roman"/>
          <w:sz w:val="24"/>
          <w:szCs w:val="24"/>
        </w:rPr>
        <w:t xml:space="preserve"> using a method that allows detection of the protective concentration of anti-HBs (≥ 10 </w:t>
      </w:r>
      <w:proofErr w:type="spellStart"/>
      <w:r w:rsidRPr="00D52458">
        <w:rPr>
          <w:rFonts w:ascii="Times New Roman" w:hAnsi="Times New Roman" w:cs="Times New Roman"/>
          <w:sz w:val="24"/>
          <w:szCs w:val="24"/>
        </w:rPr>
        <w:t>mIU</w:t>
      </w:r>
      <w:proofErr w:type="spellEnd"/>
      <w:r w:rsidRPr="00D52458">
        <w:rPr>
          <w:rFonts w:ascii="Times New Roman" w:hAnsi="Times New Roman" w:cs="Times New Roman"/>
          <w:sz w:val="24"/>
          <w:szCs w:val="24"/>
        </w:rPr>
        <w:t xml:space="preserve">/mL).  Testing the source patient and the HCP should occur simultaneously; testing the source patient </w:t>
      </w:r>
      <w:proofErr w:type="gramStart"/>
      <w:r w:rsidRPr="00D52458">
        <w:rPr>
          <w:rFonts w:ascii="Times New Roman" w:hAnsi="Times New Roman" w:cs="Times New Roman"/>
          <w:sz w:val="24"/>
          <w:szCs w:val="24"/>
        </w:rPr>
        <w:t>should not be delayed</w:t>
      </w:r>
      <w:proofErr w:type="gramEnd"/>
      <w:r w:rsidRPr="00D52458">
        <w:rPr>
          <w:rFonts w:ascii="Times New Roman" w:hAnsi="Times New Roman" w:cs="Times New Roman"/>
          <w:sz w:val="24"/>
          <w:szCs w:val="24"/>
        </w:rPr>
        <w:t xml:space="preserve"> while waiting for the HCP </w:t>
      </w:r>
      <w:r w:rsidRPr="00D52458">
        <w:rPr>
          <w:rFonts w:ascii="Times New Roman" w:hAnsi="Times New Roman" w:cs="Times New Roman"/>
          <w:sz w:val="24"/>
          <w:szCs w:val="24"/>
        </w:rPr>
        <w:br/>
        <w:t xml:space="preserve">anti-HBs test results and likewise testing the HCP should not be delayed while waiting for the source patient’s </w:t>
      </w:r>
      <w:proofErr w:type="spellStart"/>
      <w:r w:rsidRPr="00D52458">
        <w:rPr>
          <w:rFonts w:ascii="Times New Roman" w:hAnsi="Times New Roman" w:cs="Times New Roman"/>
          <w:sz w:val="24"/>
          <w:szCs w:val="24"/>
        </w:rPr>
        <w:t>HBsAg</w:t>
      </w:r>
      <w:proofErr w:type="spellEnd"/>
      <w:r w:rsidRPr="00D52458">
        <w:rPr>
          <w:rFonts w:ascii="Times New Roman" w:hAnsi="Times New Roman" w:cs="Times New Roman"/>
          <w:sz w:val="24"/>
          <w:szCs w:val="24"/>
        </w:rPr>
        <w:t xml:space="preserve"> results.  See figure 3.</w:t>
      </w:r>
    </w:p>
    <w:p w:rsidR="00D52458" w:rsidRPr="00D52458" w:rsidRDefault="00D52458" w:rsidP="00D52458">
      <w:pPr>
        <w:spacing w:after="0" w:line="240" w:lineRule="auto"/>
        <w:ind w:left="720"/>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For detailed guidance regarding post-exposure </w:t>
      </w:r>
      <w:proofErr w:type="gramStart"/>
      <w:r w:rsidRPr="00D52458">
        <w:rPr>
          <w:rFonts w:ascii="Times New Roman" w:eastAsia="Times New Roman" w:hAnsi="Times New Roman" w:cs="Times New Roman"/>
          <w:color w:val="000000"/>
          <w:sz w:val="24"/>
          <w:szCs w:val="20"/>
        </w:rPr>
        <w:t>prophylaxis</w:t>
      </w:r>
      <w:proofErr w:type="gramEnd"/>
      <w:r w:rsidRPr="00D52458">
        <w:rPr>
          <w:rFonts w:ascii="Times New Roman" w:eastAsia="Times New Roman" w:hAnsi="Times New Roman" w:cs="Times New Roman"/>
          <w:color w:val="000000"/>
          <w:sz w:val="24"/>
          <w:szCs w:val="20"/>
        </w:rPr>
        <w:t xml:space="preserve"> see CDC Prevention of Hepatitis B Virus Infection in the United States:  Recommendations of the Advisory Committee on Immunization Practices (ACIP).  MMWR, 2018, Vol. 67/No.1 </w:t>
      </w:r>
      <w:hyperlink r:id="rId8" w:history="1">
        <w:r w:rsidRPr="00D52458">
          <w:rPr>
            <w:rFonts w:ascii="Times New Roman" w:eastAsia="Times New Roman" w:hAnsi="Times New Roman" w:cs="Times New Roman"/>
            <w:color w:val="0000FF"/>
            <w:sz w:val="24"/>
            <w:szCs w:val="20"/>
            <w:u w:val="single"/>
          </w:rPr>
          <w:t>Https://www.cdc.gov/mmwr/volumes/67/rr/pdfs/rr670-H.pdf</w:t>
        </w:r>
      </w:hyperlink>
      <w:r w:rsidRPr="00D52458">
        <w:rPr>
          <w:rFonts w:ascii="Times New Roman" w:eastAsia="Times New Roman" w:hAnsi="Times New Roman" w:cs="Times New Roman"/>
          <w:color w:val="000000"/>
          <w:sz w:val="24"/>
          <w:szCs w:val="20"/>
        </w:rPr>
        <w:t xml:space="preserve"> (See Tables 5 and 6: “</w:t>
      </w:r>
      <w:proofErr w:type="spellStart"/>
      <w:r w:rsidRPr="00D52458">
        <w:rPr>
          <w:rFonts w:ascii="Times New Roman" w:eastAsia="Times New Roman" w:hAnsi="Times New Roman" w:cs="Times New Roman"/>
          <w:color w:val="000000"/>
          <w:sz w:val="24"/>
          <w:szCs w:val="20"/>
        </w:rPr>
        <w:t>Postexposure</w:t>
      </w:r>
      <w:proofErr w:type="spellEnd"/>
      <w:r w:rsidRPr="00D52458">
        <w:rPr>
          <w:rFonts w:ascii="Times New Roman" w:eastAsia="Times New Roman" w:hAnsi="Times New Roman" w:cs="Times New Roman"/>
          <w:color w:val="000000"/>
          <w:sz w:val="24"/>
          <w:szCs w:val="20"/>
        </w:rPr>
        <w:t xml:space="preserve"> Management of HCP and </w:t>
      </w:r>
      <w:proofErr w:type="spellStart"/>
      <w:r w:rsidRPr="00D52458">
        <w:rPr>
          <w:rFonts w:ascii="Times New Roman" w:eastAsia="Times New Roman" w:hAnsi="Times New Roman" w:cs="Times New Roman"/>
          <w:color w:val="000000"/>
          <w:sz w:val="24"/>
          <w:szCs w:val="20"/>
        </w:rPr>
        <w:t>Nonoccupational</w:t>
      </w:r>
      <w:proofErr w:type="spellEnd"/>
      <w:r w:rsidRPr="00D52458">
        <w:rPr>
          <w:rFonts w:ascii="Times New Roman" w:eastAsia="Times New Roman" w:hAnsi="Times New Roman" w:cs="Times New Roman"/>
          <w:color w:val="000000"/>
          <w:sz w:val="24"/>
          <w:szCs w:val="20"/>
        </w:rPr>
        <w:t xml:space="preserve"> Exposure” reproduced </w:t>
      </w:r>
      <w:proofErr w:type="gramStart"/>
      <w:r w:rsidRPr="00D52458">
        <w:rPr>
          <w:rFonts w:ascii="Times New Roman" w:eastAsia="Times New Roman" w:hAnsi="Times New Roman" w:cs="Times New Roman"/>
          <w:color w:val="000000"/>
          <w:sz w:val="24"/>
          <w:szCs w:val="20"/>
        </w:rPr>
        <w:t>below:</w:t>
      </w:r>
      <w:proofErr w:type="gramEnd"/>
    </w:p>
    <w:p w:rsidR="00D52458" w:rsidRPr="00D52458" w:rsidRDefault="00D52458" w:rsidP="00D52458">
      <w:pPr>
        <w:spacing w:after="0" w:line="240" w:lineRule="auto"/>
        <w:ind w:left="720"/>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w:t>
      </w:r>
    </w:p>
    <w:p w:rsidR="00D52458" w:rsidRPr="00D52458" w:rsidRDefault="00D52458" w:rsidP="00D52458">
      <w:pPr>
        <w:autoSpaceDE w:val="0"/>
        <w:autoSpaceDN w:val="0"/>
        <w:adjustRightInd w:val="0"/>
        <w:spacing w:after="80" w:line="181" w:lineRule="atLeast"/>
        <w:ind w:left="-270" w:right="-1080"/>
        <w:jc w:val="both"/>
        <w:rPr>
          <w:rFonts w:ascii="Myriad Pro Light" w:hAnsi="Myriad Pro Light" w:cs="Myriad Pro Light"/>
          <w:b/>
          <w:bCs/>
          <w:sz w:val="18"/>
          <w:szCs w:val="18"/>
        </w:rPr>
        <w:sectPr w:rsidR="00D52458" w:rsidRPr="00D52458" w:rsidSect="002F456E">
          <w:footerReference w:type="default" r:id="rId9"/>
          <w:pgSz w:w="12240" w:h="15840" w:code="1"/>
          <w:pgMar w:top="1440" w:right="1440" w:bottom="1440" w:left="1440" w:header="720" w:footer="576" w:gutter="0"/>
          <w:cols w:space="720"/>
          <w:docGrid w:linePitch="360"/>
        </w:sectPr>
      </w:pPr>
    </w:p>
    <w:p w:rsidR="00D52458" w:rsidRPr="00D52458" w:rsidRDefault="00D52458" w:rsidP="00D52458">
      <w:pPr>
        <w:autoSpaceDE w:val="0"/>
        <w:autoSpaceDN w:val="0"/>
        <w:adjustRightInd w:val="0"/>
        <w:spacing w:after="0" w:line="240" w:lineRule="auto"/>
        <w:ind w:left="-274" w:right="-1080"/>
        <w:jc w:val="both"/>
        <w:rPr>
          <w:rFonts w:ascii="Myriad Pro Light" w:hAnsi="Myriad Pro Light"/>
          <w:b/>
          <w:sz w:val="24"/>
          <w:szCs w:val="24"/>
        </w:rPr>
      </w:pPr>
    </w:p>
    <w:p w:rsidR="00D52458" w:rsidRPr="00D52458" w:rsidRDefault="00D52458" w:rsidP="00D52458">
      <w:pPr>
        <w:kinsoku w:val="0"/>
        <w:overflowPunct w:val="0"/>
        <w:autoSpaceDE w:val="0"/>
        <w:autoSpaceDN w:val="0"/>
        <w:adjustRightInd w:val="0"/>
        <w:spacing w:after="0" w:line="240" w:lineRule="auto"/>
        <w:outlineLvl w:val="0"/>
        <w:rPr>
          <w:rFonts w:ascii="Times New Roman" w:hAnsi="Times New Roman" w:cs="Times New Roman"/>
          <w:b/>
          <w:bCs/>
          <w:color w:val="231F20"/>
          <w:sz w:val="24"/>
          <w:szCs w:val="24"/>
        </w:rPr>
      </w:pPr>
      <w:r w:rsidRPr="00D52458">
        <w:rPr>
          <w:rFonts w:ascii="Times New Roman" w:hAnsi="Times New Roman" w:cs="Times New Roman"/>
          <w:b/>
          <w:bCs/>
          <w:color w:val="231F20"/>
          <w:sz w:val="24"/>
          <w:szCs w:val="24"/>
        </w:rPr>
        <w:t xml:space="preserve">TABLE 5.  </w:t>
      </w:r>
      <w:proofErr w:type="spellStart"/>
      <w:r w:rsidRPr="00D52458">
        <w:rPr>
          <w:rFonts w:ascii="Times New Roman" w:hAnsi="Times New Roman" w:cs="Times New Roman"/>
          <w:b/>
          <w:bCs/>
          <w:color w:val="231F20"/>
          <w:sz w:val="24"/>
          <w:szCs w:val="24"/>
        </w:rPr>
        <w:t>Postexposure</w:t>
      </w:r>
      <w:proofErr w:type="spellEnd"/>
      <w:r w:rsidRPr="00D52458">
        <w:rPr>
          <w:rFonts w:ascii="Times New Roman" w:hAnsi="Times New Roman" w:cs="Times New Roman"/>
          <w:b/>
          <w:bCs/>
          <w:color w:val="231F20"/>
          <w:sz w:val="24"/>
          <w:szCs w:val="24"/>
        </w:rPr>
        <w:t xml:space="preserve"> management of health care personnel after occupational percutaneous or mucosal exposure to </w:t>
      </w:r>
      <w:r w:rsidRPr="00D52458">
        <w:rPr>
          <w:rFonts w:ascii="Times New Roman" w:hAnsi="Times New Roman" w:cs="Times New Roman"/>
          <w:b/>
          <w:bCs/>
          <w:color w:val="231F20"/>
          <w:sz w:val="24"/>
          <w:szCs w:val="24"/>
        </w:rPr>
        <w:br/>
        <w:t xml:space="preserve">blood or body fluids, by health care personnel </w:t>
      </w:r>
      <w:proofErr w:type="spellStart"/>
      <w:r w:rsidRPr="00D52458">
        <w:rPr>
          <w:rFonts w:ascii="Times New Roman" w:hAnsi="Times New Roman" w:cs="Times New Roman"/>
          <w:b/>
          <w:bCs/>
          <w:color w:val="231F20"/>
          <w:sz w:val="24"/>
          <w:szCs w:val="24"/>
        </w:rPr>
        <w:t>HepB</w:t>
      </w:r>
      <w:proofErr w:type="spellEnd"/>
      <w:r w:rsidRPr="00D52458">
        <w:rPr>
          <w:rFonts w:ascii="Times New Roman" w:hAnsi="Times New Roman" w:cs="Times New Roman"/>
          <w:b/>
          <w:bCs/>
          <w:color w:val="231F20"/>
          <w:sz w:val="24"/>
          <w:szCs w:val="24"/>
        </w:rPr>
        <w:t xml:space="preserve"> vaccination and response status</w:t>
      </w:r>
    </w:p>
    <w:p w:rsidR="00D52458" w:rsidRPr="00D52458" w:rsidRDefault="00D52458" w:rsidP="00D52458">
      <w:pPr>
        <w:kinsoku w:val="0"/>
        <w:overflowPunct w:val="0"/>
        <w:autoSpaceDE w:val="0"/>
        <w:autoSpaceDN w:val="0"/>
        <w:adjustRightInd w:val="0"/>
        <w:spacing w:after="0" w:line="240" w:lineRule="auto"/>
        <w:rPr>
          <w:rFonts w:ascii="Arial" w:hAnsi="Arial" w:cs="Arial"/>
          <w:color w:val="000000"/>
          <w:sz w:val="16"/>
          <w:szCs w:val="16"/>
        </w:rPr>
      </w:pPr>
    </w:p>
    <w:tbl>
      <w:tblPr>
        <w:tblW w:w="12690" w:type="dxa"/>
        <w:tblLayout w:type="fixed"/>
        <w:tblCellMar>
          <w:left w:w="0" w:type="dxa"/>
          <w:right w:w="0" w:type="dxa"/>
        </w:tblCellMar>
        <w:tblLook w:val="0000" w:firstRow="0" w:lastRow="0" w:firstColumn="0" w:lastColumn="0" w:noHBand="0" w:noVBand="0"/>
      </w:tblPr>
      <w:tblGrid>
        <w:gridCol w:w="2790"/>
        <w:gridCol w:w="1980"/>
        <w:gridCol w:w="1800"/>
        <w:gridCol w:w="2070"/>
        <w:gridCol w:w="2250"/>
        <w:gridCol w:w="1800"/>
      </w:tblGrid>
      <w:tr w:rsidR="00D52458" w:rsidRPr="00D52458" w:rsidTr="00761C75">
        <w:trPr>
          <w:trHeight w:hRule="exact" w:val="612"/>
        </w:trPr>
        <w:tc>
          <w:tcPr>
            <w:tcW w:w="279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rPr>
            </w:pPr>
          </w:p>
        </w:tc>
        <w:tc>
          <w:tcPr>
            <w:tcW w:w="3780" w:type="dxa"/>
            <w:gridSpan w:val="2"/>
            <w:tcBorders>
              <w:left w:val="nil"/>
              <w:bottom w:val="single" w:sz="4" w:space="0" w:color="auto"/>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b/>
              </w:rPr>
            </w:pPr>
            <w:proofErr w:type="spellStart"/>
            <w:r w:rsidRPr="00D52458">
              <w:rPr>
                <w:rFonts w:ascii="Times New Roman" w:hAnsi="Times New Roman" w:cs="Times New Roman"/>
                <w:b/>
              </w:rPr>
              <w:t>Postexposure</w:t>
            </w:r>
            <w:proofErr w:type="spellEnd"/>
            <w:r w:rsidRPr="00D52458">
              <w:rPr>
                <w:rFonts w:ascii="Times New Roman" w:hAnsi="Times New Roman" w:cs="Times New Roman"/>
                <w:b/>
              </w:rPr>
              <w:t xml:space="preserve"> testing</w:t>
            </w:r>
          </w:p>
        </w:tc>
        <w:tc>
          <w:tcPr>
            <w:tcW w:w="4320" w:type="dxa"/>
            <w:gridSpan w:val="2"/>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b/>
                <w:bCs/>
                <w:color w:val="231F20"/>
              </w:rPr>
            </w:pPr>
            <w:proofErr w:type="spellStart"/>
            <w:r w:rsidRPr="00D52458">
              <w:rPr>
                <w:rFonts w:ascii="Times New Roman" w:hAnsi="Times New Roman" w:cs="Times New Roman"/>
                <w:b/>
                <w:bCs/>
                <w:color w:val="231F20"/>
                <w:spacing w:val="-5"/>
                <w:w w:val="90"/>
              </w:rPr>
              <w:t>P</w:t>
            </w:r>
            <w:r w:rsidRPr="00D52458">
              <w:rPr>
                <w:rFonts w:ascii="Times New Roman" w:hAnsi="Times New Roman" w:cs="Times New Roman"/>
                <w:b/>
                <w:bCs/>
                <w:color w:val="231F20"/>
                <w:w w:val="90"/>
              </w:rPr>
              <w:t>os</w:t>
            </w:r>
            <w:r w:rsidRPr="00D52458">
              <w:rPr>
                <w:rFonts w:ascii="Times New Roman" w:hAnsi="Times New Roman" w:cs="Times New Roman"/>
                <w:b/>
                <w:bCs/>
                <w:color w:val="231F20"/>
                <w:spacing w:val="-1"/>
                <w:w w:val="90"/>
              </w:rPr>
              <w:t>t</w:t>
            </w:r>
            <w:r w:rsidRPr="00D52458">
              <w:rPr>
                <w:rFonts w:ascii="Times New Roman" w:hAnsi="Times New Roman" w:cs="Times New Roman"/>
                <w:b/>
                <w:bCs/>
                <w:color w:val="231F20"/>
                <w:spacing w:val="-2"/>
                <w:w w:val="90"/>
              </w:rPr>
              <w:t>e</w:t>
            </w:r>
            <w:r w:rsidRPr="00D52458">
              <w:rPr>
                <w:rFonts w:ascii="Times New Roman" w:hAnsi="Times New Roman" w:cs="Times New Roman"/>
                <w:b/>
                <w:bCs/>
                <w:color w:val="231F20"/>
                <w:w w:val="90"/>
              </w:rPr>
              <w:t>xposu</w:t>
            </w:r>
            <w:r w:rsidRPr="00D52458">
              <w:rPr>
                <w:rFonts w:ascii="Times New Roman" w:hAnsi="Times New Roman" w:cs="Times New Roman"/>
                <w:b/>
                <w:bCs/>
                <w:color w:val="231F20"/>
                <w:spacing w:val="-2"/>
                <w:w w:val="90"/>
              </w:rPr>
              <w:t>r</w:t>
            </w:r>
            <w:r w:rsidRPr="00D52458">
              <w:rPr>
                <w:rFonts w:ascii="Times New Roman" w:hAnsi="Times New Roman" w:cs="Times New Roman"/>
                <w:b/>
                <w:bCs/>
                <w:color w:val="231F20"/>
                <w:w w:val="90"/>
              </w:rPr>
              <w:t>e</w:t>
            </w:r>
            <w:proofErr w:type="spellEnd"/>
            <w:r w:rsidRPr="00D52458">
              <w:rPr>
                <w:rFonts w:ascii="Times New Roman" w:hAnsi="Times New Roman" w:cs="Times New Roman"/>
                <w:b/>
                <w:bCs/>
                <w:color w:val="231F20"/>
                <w:spacing w:val="-7"/>
                <w:w w:val="90"/>
              </w:rPr>
              <w:t xml:space="preserve"> </w:t>
            </w:r>
            <w:r w:rsidRPr="00D52458">
              <w:rPr>
                <w:rFonts w:ascii="Times New Roman" w:hAnsi="Times New Roman" w:cs="Times New Roman"/>
                <w:b/>
                <w:bCs/>
                <w:color w:val="231F20"/>
                <w:w w:val="90"/>
              </w:rPr>
              <w:t>p</w:t>
            </w:r>
            <w:r w:rsidRPr="00D52458">
              <w:rPr>
                <w:rFonts w:ascii="Times New Roman" w:hAnsi="Times New Roman" w:cs="Times New Roman"/>
                <w:b/>
                <w:bCs/>
                <w:color w:val="231F20"/>
                <w:spacing w:val="-2"/>
                <w:w w:val="90"/>
              </w:rPr>
              <w:t>r</w:t>
            </w:r>
            <w:r w:rsidRPr="00D52458">
              <w:rPr>
                <w:rFonts w:ascii="Times New Roman" w:hAnsi="Times New Roman" w:cs="Times New Roman"/>
                <w:b/>
                <w:bCs/>
                <w:color w:val="231F20"/>
                <w:w w:val="90"/>
              </w:rPr>
              <w:t>op</w:t>
            </w:r>
            <w:r w:rsidRPr="00D52458">
              <w:rPr>
                <w:rFonts w:ascii="Times New Roman" w:hAnsi="Times New Roman" w:cs="Times New Roman"/>
                <w:b/>
                <w:bCs/>
                <w:color w:val="231F20"/>
                <w:spacing w:val="-3"/>
                <w:w w:val="90"/>
              </w:rPr>
              <w:t>h</w:t>
            </w:r>
            <w:r w:rsidRPr="00D52458">
              <w:rPr>
                <w:rFonts w:ascii="Times New Roman" w:hAnsi="Times New Roman" w:cs="Times New Roman"/>
                <w:b/>
                <w:bCs/>
                <w:color w:val="231F20"/>
                <w:w w:val="90"/>
              </w:rPr>
              <w:t>ylaxis</w:t>
            </w:r>
          </w:p>
        </w:tc>
        <w:tc>
          <w:tcPr>
            <w:tcW w:w="180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b/>
                <w:bCs/>
                <w:color w:val="231F20"/>
              </w:rPr>
            </w:pPr>
          </w:p>
        </w:tc>
      </w:tr>
      <w:tr w:rsidR="00D52458" w:rsidRPr="00D52458" w:rsidTr="00761C75">
        <w:trPr>
          <w:trHeight w:hRule="exact" w:val="821"/>
        </w:trPr>
        <w:tc>
          <w:tcPr>
            <w:tcW w:w="279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b/>
                <w:bCs/>
                <w:color w:val="231F20"/>
              </w:rPr>
              <w:t>HCP status</w:t>
            </w:r>
          </w:p>
        </w:tc>
        <w:tc>
          <w:tcPr>
            <w:tcW w:w="1980" w:type="dxa"/>
            <w:tcBorders>
              <w:left w:val="nil"/>
              <w:bottom w:val="single" w:sz="4" w:space="0" w:color="auto"/>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b/>
                <w:bCs/>
                <w:color w:val="231F20"/>
              </w:rPr>
              <w:t>Source patient (</w:t>
            </w:r>
            <w:proofErr w:type="spellStart"/>
            <w:r w:rsidRPr="00D52458">
              <w:rPr>
                <w:rFonts w:ascii="Times New Roman" w:hAnsi="Times New Roman" w:cs="Times New Roman"/>
                <w:b/>
                <w:bCs/>
                <w:color w:val="231F20"/>
              </w:rPr>
              <w:t>HBsAg</w:t>
            </w:r>
            <w:proofErr w:type="spellEnd"/>
            <w:r w:rsidRPr="00D52458">
              <w:rPr>
                <w:rFonts w:ascii="Times New Roman" w:hAnsi="Times New Roman" w:cs="Times New Roman"/>
                <w:b/>
                <w:bCs/>
                <w:color w:val="231F20"/>
              </w:rPr>
              <w:t>)</w:t>
            </w:r>
          </w:p>
        </w:tc>
        <w:tc>
          <w:tcPr>
            <w:tcW w:w="1800" w:type="dxa"/>
            <w:tcBorders>
              <w:left w:val="nil"/>
              <w:bottom w:val="single" w:sz="4" w:space="0" w:color="auto"/>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b/>
                <w:bCs/>
                <w:color w:val="231F20"/>
              </w:rPr>
              <w:t>HCP testing</w:t>
            </w:r>
            <w:r w:rsidRPr="00D52458">
              <w:rPr>
                <w:rFonts w:ascii="Times New Roman" w:hAnsi="Times New Roman" w:cs="Times New Roman"/>
                <w:b/>
                <w:bCs/>
                <w:color w:val="231F20"/>
              </w:rPr>
              <w:br/>
              <w:t>(anti-HBs)</w:t>
            </w:r>
          </w:p>
        </w:tc>
        <w:tc>
          <w:tcPr>
            <w:tcW w:w="207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b/>
                <w:bCs/>
                <w:color w:val="231F20"/>
              </w:rPr>
              <w:t>HBIG</w:t>
            </w:r>
          </w:p>
        </w:tc>
        <w:tc>
          <w:tcPr>
            <w:tcW w:w="225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b/>
                <w:bCs/>
                <w:color w:val="231F20"/>
              </w:rPr>
              <w:t xml:space="preserve">Vaccination </w:t>
            </w:r>
          </w:p>
        </w:tc>
        <w:tc>
          <w:tcPr>
            <w:tcW w:w="1800" w:type="dxa"/>
            <w:tcBorders>
              <w:top w:val="nil"/>
              <w:left w:val="nil"/>
              <w:bottom w:val="single" w:sz="8" w:space="0" w:color="231F20"/>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b/>
                <w:bCs/>
                <w:color w:val="231F20"/>
              </w:rPr>
            </w:pPr>
            <w:proofErr w:type="spellStart"/>
            <w:r w:rsidRPr="00D52458">
              <w:rPr>
                <w:rFonts w:ascii="Times New Roman" w:hAnsi="Times New Roman" w:cs="Times New Roman"/>
                <w:b/>
                <w:bCs/>
                <w:color w:val="231F20"/>
              </w:rPr>
              <w:t>Postvaccination</w:t>
            </w:r>
            <w:proofErr w:type="spellEnd"/>
            <w:r w:rsidRPr="00D52458">
              <w:rPr>
                <w:rFonts w:ascii="Times New Roman" w:hAnsi="Times New Roman" w:cs="Times New Roman"/>
                <w:b/>
                <w:bCs/>
                <w:color w:val="231F20"/>
              </w:rPr>
              <w:br/>
              <w:t>serologic testing</w:t>
            </w:r>
          </w:p>
        </w:tc>
      </w:tr>
      <w:tr w:rsidR="00D52458" w:rsidRPr="00D52458" w:rsidTr="00761C75">
        <w:trPr>
          <w:trHeight w:hRule="exact" w:val="641"/>
        </w:trPr>
        <w:tc>
          <w:tcPr>
            <w:tcW w:w="2790" w:type="dxa"/>
            <w:tcBorders>
              <w:top w:val="single" w:sz="8" w:space="0" w:color="231F20"/>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rPr>
            </w:pPr>
            <w:r w:rsidRPr="00D52458">
              <w:rPr>
                <w:rFonts w:ascii="Times New Roman" w:hAnsi="Times New Roman" w:cs="Times New Roman"/>
                <w:color w:val="231F20"/>
              </w:rPr>
              <w:t>Documented responder after complete series</w:t>
            </w:r>
          </w:p>
        </w:tc>
        <w:tc>
          <w:tcPr>
            <w:tcW w:w="1980" w:type="dxa"/>
            <w:tcBorders>
              <w:top w:val="single" w:sz="4" w:space="0" w:color="auto"/>
              <w:left w:val="nil"/>
              <w:bottom w:val="nil"/>
              <w:right w:val="nil"/>
            </w:tcBorders>
            <w:vAlign w:val="center"/>
          </w:tcPr>
          <w:p w:rsidR="00D52458" w:rsidRPr="00D52458" w:rsidRDefault="00D52458" w:rsidP="00D52458">
            <w:pPr>
              <w:autoSpaceDE w:val="0"/>
              <w:autoSpaceDN w:val="0"/>
              <w:adjustRightInd w:val="0"/>
              <w:spacing w:after="0" w:line="240" w:lineRule="auto"/>
              <w:jc w:val="center"/>
              <w:rPr>
                <w:rFonts w:ascii="Times New Roman" w:hAnsi="Times New Roman" w:cs="Times New Roman"/>
              </w:rPr>
            </w:pPr>
          </w:p>
        </w:tc>
        <w:tc>
          <w:tcPr>
            <w:tcW w:w="1800" w:type="dxa"/>
            <w:tcBorders>
              <w:top w:val="single" w:sz="4" w:space="0" w:color="auto"/>
              <w:left w:val="nil"/>
              <w:bottom w:val="nil"/>
              <w:right w:val="nil"/>
            </w:tcBorders>
            <w:vAlign w:val="center"/>
          </w:tcPr>
          <w:p w:rsidR="00D52458" w:rsidRPr="00D52458" w:rsidRDefault="00D52458" w:rsidP="00D52458">
            <w:pPr>
              <w:autoSpaceDE w:val="0"/>
              <w:autoSpaceDN w:val="0"/>
              <w:adjustRightInd w:val="0"/>
              <w:spacing w:after="0" w:line="240" w:lineRule="auto"/>
              <w:jc w:val="center"/>
              <w:rPr>
                <w:rFonts w:ascii="Times New Roman" w:hAnsi="Times New Roman" w:cs="Times New Roman"/>
              </w:rPr>
            </w:pPr>
          </w:p>
        </w:tc>
        <w:tc>
          <w:tcPr>
            <w:tcW w:w="2070" w:type="dxa"/>
            <w:tcBorders>
              <w:top w:val="single" w:sz="8" w:space="0" w:color="231F20"/>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No action needed</w:t>
            </w:r>
          </w:p>
        </w:tc>
        <w:tc>
          <w:tcPr>
            <w:tcW w:w="2250" w:type="dxa"/>
            <w:tcBorders>
              <w:top w:val="single" w:sz="8" w:space="0" w:color="231F20"/>
              <w:left w:val="nil"/>
              <w:bottom w:val="nil"/>
              <w:right w:val="nil"/>
            </w:tcBorders>
            <w:vAlign w:val="center"/>
          </w:tcPr>
          <w:p w:rsidR="00D52458" w:rsidRPr="00D52458" w:rsidRDefault="00D52458" w:rsidP="00D52458">
            <w:pPr>
              <w:autoSpaceDE w:val="0"/>
              <w:autoSpaceDN w:val="0"/>
              <w:adjustRightInd w:val="0"/>
              <w:spacing w:after="0" w:line="240" w:lineRule="auto"/>
              <w:rPr>
                <w:rFonts w:ascii="Times New Roman" w:hAnsi="Times New Roman" w:cs="Times New Roman"/>
              </w:rPr>
            </w:pPr>
          </w:p>
        </w:tc>
        <w:tc>
          <w:tcPr>
            <w:tcW w:w="1800" w:type="dxa"/>
            <w:tcBorders>
              <w:top w:val="single" w:sz="8" w:space="0" w:color="231F20"/>
              <w:left w:val="nil"/>
              <w:bottom w:val="nil"/>
              <w:right w:val="nil"/>
            </w:tcBorders>
            <w:vAlign w:val="center"/>
          </w:tcPr>
          <w:p w:rsidR="00D52458" w:rsidRPr="00D52458" w:rsidRDefault="00D52458" w:rsidP="00D52458">
            <w:pPr>
              <w:autoSpaceDE w:val="0"/>
              <w:autoSpaceDN w:val="0"/>
              <w:adjustRightInd w:val="0"/>
              <w:spacing w:after="0" w:line="240" w:lineRule="auto"/>
              <w:jc w:val="center"/>
              <w:rPr>
                <w:rFonts w:ascii="Times New Roman" w:hAnsi="Times New Roman" w:cs="Times New Roman"/>
              </w:rPr>
            </w:pPr>
          </w:p>
        </w:tc>
      </w:tr>
      <w:tr w:rsidR="00D52458" w:rsidRPr="00D52458" w:rsidTr="00761C75">
        <w:trPr>
          <w:trHeight w:hRule="exact" w:val="693"/>
        </w:trPr>
        <w:tc>
          <w:tcPr>
            <w:tcW w:w="279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rPr>
            </w:pPr>
            <w:r w:rsidRPr="00D52458">
              <w:rPr>
                <w:rFonts w:ascii="Times New Roman" w:hAnsi="Times New Roman" w:cs="Times New Roman"/>
                <w:color w:val="231F20"/>
              </w:rPr>
              <w:t xml:space="preserve">Documented </w:t>
            </w:r>
            <w:proofErr w:type="spellStart"/>
            <w:r w:rsidRPr="00D52458">
              <w:rPr>
                <w:rFonts w:ascii="Times New Roman" w:hAnsi="Times New Roman" w:cs="Times New Roman"/>
                <w:color w:val="231F20"/>
              </w:rPr>
              <w:t>nonresponder</w:t>
            </w:r>
            <w:proofErr w:type="spellEnd"/>
            <w:r w:rsidRPr="00D52458">
              <w:rPr>
                <w:rFonts w:ascii="Times New Roman" w:hAnsi="Times New Roman" w:cs="Times New Roman"/>
                <w:color w:val="231F20"/>
              </w:rPr>
              <w:t xml:space="preserve"> after two complete series</w:t>
            </w: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Positive/unknown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w:t>
            </w:r>
          </w:p>
        </w:tc>
        <w:tc>
          <w:tcPr>
            <w:tcW w:w="207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HBIG x2 separated</w:t>
            </w:r>
            <w:r w:rsidRPr="00D52458">
              <w:rPr>
                <w:rFonts w:ascii="Times New Roman" w:hAnsi="Times New Roman" w:cs="Times New Roman"/>
                <w:color w:val="231F20"/>
              </w:rPr>
              <w:br/>
              <w:t>by 1 month</w:t>
            </w:r>
          </w:p>
        </w:tc>
        <w:tc>
          <w:tcPr>
            <w:tcW w:w="225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rPr>
              <w:t>N/A</w:t>
            </w:r>
          </w:p>
        </w:tc>
      </w:tr>
      <w:tr w:rsidR="00D52458" w:rsidRPr="00D52458" w:rsidTr="00761C75">
        <w:trPr>
          <w:trHeight w:hRule="exact" w:val="639"/>
        </w:trPr>
        <w:tc>
          <w:tcPr>
            <w:tcW w:w="279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color w:val="231F20"/>
              </w:rPr>
            </w:pP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Negative</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p>
        </w:tc>
        <w:tc>
          <w:tcPr>
            <w:tcW w:w="4320" w:type="dxa"/>
            <w:gridSpan w:val="2"/>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No action needed</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p>
        </w:tc>
      </w:tr>
      <w:tr w:rsidR="00D52458" w:rsidRPr="00D52458" w:rsidTr="00761C75">
        <w:trPr>
          <w:trHeight w:hRule="exact" w:val="720"/>
        </w:trPr>
        <w:tc>
          <w:tcPr>
            <w:tcW w:w="279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rPr>
                <w:rFonts w:ascii="Times New Roman" w:hAnsi="Times New Roman" w:cs="Times New Roman"/>
              </w:rPr>
            </w:pPr>
            <w:r w:rsidRPr="00D52458">
              <w:rPr>
                <w:rFonts w:ascii="Times New Roman" w:hAnsi="Times New Roman" w:cs="Times New Roman"/>
                <w:color w:val="231F20"/>
              </w:rPr>
              <w:t>Response unknown after complete series</w:t>
            </w: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Positive/unknown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 xml:space="preserve">&lt;10 </w:t>
            </w:r>
            <w:proofErr w:type="spellStart"/>
            <w:r w:rsidRPr="00D52458">
              <w:rPr>
                <w:rFonts w:ascii="Times New Roman" w:hAnsi="Times New Roman" w:cs="Times New Roman"/>
                <w:color w:val="231F20"/>
              </w:rPr>
              <w:t>mIU</w:t>
            </w:r>
            <w:proofErr w:type="spellEnd"/>
            <w:r w:rsidRPr="00D52458">
              <w:rPr>
                <w:rFonts w:ascii="Times New Roman" w:hAnsi="Times New Roman" w:cs="Times New Roman"/>
                <w:color w:val="231F20"/>
              </w:rPr>
              <w:t>/mL</w:t>
            </w:r>
          </w:p>
        </w:tc>
        <w:tc>
          <w:tcPr>
            <w:tcW w:w="207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HBIG x1</w:t>
            </w:r>
          </w:p>
        </w:tc>
        <w:tc>
          <w:tcPr>
            <w:tcW w:w="225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Initiate revaccination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Yes</w:t>
            </w:r>
          </w:p>
        </w:tc>
      </w:tr>
      <w:tr w:rsidR="00D52458" w:rsidRPr="00D52458" w:rsidTr="00761C75">
        <w:trPr>
          <w:trHeight w:hRule="exact" w:val="450"/>
        </w:trPr>
        <w:tc>
          <w:tcPr>
            <w:tcW w:w="2790" w:type="dxa"/>
            <w:vMerge w:val="restart"/>
            <w:tcBorders>
              <w:top w:val="nil"/>
              <w:left w:val="nil"/>
              <w:right w:val="nil"/>
            </w:tcBorders>
            <w:vAlign w:val="center"/>
          </w:tcPr>
          <w:p w:rsidR="00D52458" w:rsidRPr="00D52458" w:rsidRDefault="00D52458" w:rsidP="00D52458">
            <w:pPr>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Negative</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 xml:space="preserve">&lt;10 </w:t>
            </w:r>
            <w:proofErr w:type="spellStart"/>
            <w:r w:rsidRPr="00D52458">
              <w:rPr>
                <w:rFonts w:ascii="Times New Roman" w:hAnsi="Times New Roman" w:cs="Times New Roman"/>
                <w:color w:val="231F20"/>
              </w:rPr>
              <w:t>mIU</w:t>
            </w:r>
            <w:proofErr w:type="spellEnd"/>
            <w:r w:rsidRPr="00D52458">
              <w:rPr>
                <w:rFonts w:ascii="Times New Roman" w:hAnsi="Times New Roman" w:cs="Times New Roman"/>
                <w:color w:val="231F20"/>
              </w:rPr>
              <w:t>/mL</w:t>
            </w:r>
          </w:p>
        </w:tc>
        <w:tc>
          <w:tcPr>
            <w:tcW w:w="207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None</w:t>
            </w:r>
          </w:p>
        </w:tc>
        <w:tc>
          <w:tcPr>
            <w:tcW w:w="225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rPr>
            </w:pPr>
            <w:r w:rsidRPr="00D52458">
              <w:rPr>
                <w:rFonts w:ascii="Times New Roman" w:hAnsi="Times New Roman" w:cs="Times New Roman"/>
                <w:color w:val="231F20"/>
              </w:rPr>
              <w:t>Initiate revaccination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Yes</w:t>
            </w:r>
          </w:p>
        </w:tc>
      </w:tr>
      <w:tr w:rsidR="00D52458" w:rsidRPr="00D52458" w:rsidTr="00761C75">
        <w:trPr>
          <w:trHeight w:hRule="exact" w:val="450"/>
        </w:trPr>
        <w:tc>
          <w:tcPr>
            <w:tcW w:w="2790" w:type="dxa"/>
            <w:vMerge/>
            <w:tcBorders>
              <w:left w:val="nil"/>
              <w:bottom w:val="nil"/>
              <w:right w:val="nil"/>
            </w:tcBorders>
            <w:vAlign w:val="center"/>
          </w:tcPr>
          <w:p w:rsidR="00D52458" w:rsidRPr="00D52458" w:rsidRDefault="00D52458" w:rsidP="00D52458">
            <w:pPr>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Any result</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 xml:space="preserve">≥10 </w:t>
            </w:r>
            <w:proofErr w:type="spellStart"/>
            <w:r w:rsidRPr="00D52458">
              <w:rPr>
                <w:rFonts w:ascii="Times New Roman" w:hAnsi="Times New Roman" w:cs="Times New Roman"/>
                <w:color w:val="231F20"/>
              </w:rPr>
              <w:t>mIU</w:t>
            </w:r>
            <w:proofErr w:type="spellEnd"/>
            <w:r w:rsidRPr="00D52458">
              <w:rPr>
                <w:rFonts w:ascii="Times New Roman" w:hAnsi="Times New Roman" w:cs="Times New Roman"/>
                <w:color w:val="231F20"/>
              </w:rPr>
              <w:t>/mL</w:t>
            </w:r>
          </w:p>
        </w:tc>
        <w:tc>
          <w:tcPr>
            <w:tcW w:w="4320" w:type="dxa"/>
            <w:gridSpan w:val="2"/>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No action needed</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p>
        </w:tc>
      </w:tr>
      <w:tr w:rsidR="00D52458" w:rsidRPr="00D52458" w:rsidTr="00761C75">
        <w:trPr>
          <w:trHeight w:hRule="exact" w:val="540"/>
        </w:trPr>
        <w:tc>
          <w:tcPr>
            <w:tcW w:w="2790" w:type="dxa"/>
            <w:vMerge w:val="restart"/>
            <w:tcBorders>
              <w:top w:val="nil"/>
              <w:left w:val="nil"/>
              <w:right w:val="nil"/>
            </w:tcBorders>
            <w:vAlign w:val="center"/>
          </w:tcPr>
          <w:p w:rsidR="00D52458" w:rsidRPr="00D52458" w:rsidRDefault="00D52458" w:rsidP="00D52458">
            <w:pPr>
              <w:autoSpaceDE w:val="0"/>
              <w:autoSpaceDN w:val="0"/>
              <w:adjustRightInd w:val="0"/>
              <w:spacing w:after="0" w:line="240" w:lineRule="auto"/>
              <w:rPr>
                <w:rFonts w:ascii="Times New Roman" w:hAnsi="Times New Roman" w:cs="Times New Roman"/>
              </w:rPr>
            </w:pPr>
            <w:r w:rsidRPr="00D52458">
              <w:rPr>
                <w:rFonts w:ascii="Times New Roman" w:hAnsi="Times New Roman" w:cs="Times New Roman"/>
                <w:color w:val="231F20"/>
              </w:rPr>
              <w:t xml:space="preserve">Unvaccinated/incompletely vaccinated or vaccine refusers </w:t>
            </w: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Positive/unknown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w:t>
            </w:r>
          </w:p>
        </w:tc>
        <w:tc>
          <w:tcPr>
            <w:tcW w:w="207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HBIG x1</w:t>
            </w:r>
          </w:p>
        </w:tc>
        <w:tc>
          <w:tcPr>
            <w:tcW w:w="225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Complete vaccination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Yes</w:t>
            </w:r>
          </w:p>
        </w:tc>
      </w:tr>
      <w:tr w:rsidR="00D52458" w:rsidRPr="00D52458" w:rsidTr="00761C75">
        <w:trPr>
          <w:trHeight w:hRule="exact" w:val="540"/>
        </w:trPr>
        <w:tc>
          <w:tcPr>
            <w:tcW w:w="2790" w:type="dxa"/>
            <w:vMerge/>
            <w:tcBorders>
              <w:left w:val="nil"/>
              <w:bottom w:val="nil"/>
              <w:right w:val="nil"/>
            </w:tcBorders>
            <w:vAlign w:val="center"/>
          </w:tcPr>
          <w:p w:rsidR="00D52458" w:rsidRPr="00D52458" w:rsidRDefault="00D52458" w:rsidP="00D52458">
            <w:pPr>
              <w:autoSpaceDE w:val="0"/>
              <w:autoSpaceDN w:val="0"/>
              <w:adjustRightInd w:val="0"/>
              <w:spacing w:after="0" w:line="240" w:lineRule="auto"/>
              <w:rPr>
                <w:rFonts w:ascii="Times New Roman" w:hAnsi="Times New Roman" w:cs="Times New Roman"/>
              </w:rPr>
            </w:pPr>
          </w:p>
        </w:tc>
        <w:tc>
          <w:tcPr>
            <w:tcW w:w="198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Negative</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w:t>
            </w:r>
          </w:p>
        </w:tc>
        <w:tc>
          <w:tcPr>
            <w:tcW w:w="207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None</w:t>
            </w:r>
          </w:p>
        </w:tc>
        <w:tc>
          <w:tcPr>
            <w:tcW w:w="225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Complete vaccination</w:t>
            </w:r>
          </w:p>
        </w:tc>
        <w:tc>
          <w:tcPr>
            <w:tcW w:w="1800" w:type="dxa"/>
            <w:tcBorders>
              <w:top w:val="nil"/>
              <w:left w:val="nil"/>
              <w:bottom w:val="nil"/>
              <w:right w:val="nil"/>
            </w:tcBorders>
            <w:vAlign w:val="center"/>
          </w:tcPr>
          <w:p w:rsidR="00D52458" w:rsidRPr="00D52458" w:rsidRDefault="00D52458" w:rsidP="00D52458">
            <w:pPr>
              <w:kinsoku w:val="0"/>
              <w:overflowPunct w:val="0"/>
              <w:autoSpaceDE w:val="0"/>
              <w:autoSpaceDN w:val="0"/>
              <w:adjustRightInd w:val="0"/>
              <w:spacing w:after="0" w:line="240" w:lineRule="auto"/>
              <w:jc w:val="center"/>
              <w:rPr>
                <w:rFonts w:ascii="Times New Roman" w:hAnsi="Times New Roman" w:cs="Times New Roman"/>
                <w:color w:val="231F20"/>
              </w:rPr>
            </w:pPr>
            <w:r w:rsidRPr="00D52458">
              <w:rPr>
                <w:rFonts w:ascii="Times New Roman" w:hAnsi="Times New Roman" w:cs="Times New Roman"/>
                <w:color w:val="231F20"/>
              </w:rPr>
              <w:t>Yes</w:t>
            </w:r>
          </w:p>
        </w:tc>
      </w:tr>
    </w:tbl>
    <w:p w:rsidR="00D52458" w:rsidRPr="00D52458" w:rsidRDefault="00D52458" w:rsidP="00D52458">
      <w:pPr>
        <w:tabs>
          <w:tab w:val="left" w:pos="3060"/>
          <w:tab w:val="left" w:pos="5490"/>
        </w:tabs>
        <w:kinsoku w:val="0"/>
        <w:overflowPunct w:val="0"/>
        <w:autoSpaceDE w:val="0"/>
        <w:autoSpaceDN w:val="0"/>
        <w:adjustRightInd w:val="0"/>
        <w:spacing w:before="120" w:after="0" w:line="240" w:lineRule="auto"/>
        <w:rPr>
          <w:rFonts w:ascii="Times New Roman" w:hAnsi="Times New Roman" w:cs="Times New Roman"/>
          <w:color w:val="000000"/>
          <w:sz w:val="20"/>
          <w:szCs w:val="20"/>
        </w:rPr>
      </w:pPr>
      <w:r w:rsidRPr="00D52458">
        <w:rPr>
          <w:rFonts w:ascii="Times New Roman" w:hAnsi="Times New Roman" w:cs="Times New Roman"/>
          <w:b/>
          <w:bCs/>
          <w:color w:val="231F20"/>
          <w:spacing w:val="-2"/>
          <w:w w:val="95"/>
          <w:sz w:val="20"/>
          <w:szCs w:val="20"/>
        </w:rPr>
        <w:t>A</w:t>
      </w:r>
      <w:r w:rsidRPr="00D52458">
        <w:rPr>
          <w:rFonts w:ascii="Times New Roman" w:hAnsi="Times New Roman" w:cs="Times New Roman"/>
          <w:b/>
          <w:bCs/>
          <w:color w:val="231F20"/>
          <w:w w:val="95"/>
          <w:sz w:val="20"/>
          <w:szCs w:val="20"/>
        </w:rPr>
        <w:t>bb</w:t>
      </w:r>
      <w:r w:rsidRPr="00D52458">
        <w:rPr>
          <w:rFonts w:ascii="Times New Roman" w:hAnsi="Times New Roman" w:cs="Times New Roman"/>
          <w:b/>
          <w:bCs/>
          <w:color w:val="231F20"/>
          <w:spacing w:val="-2"/>
          <w:w w:val="95"/>
          <w:sz w:val="20"/>
          <w:szCs w:val="20"/>
        </w:rPr>
        <w:t>re</w:t>
      </w:r>
      <w:r w:rsidRPr="00D52458">
        <w:rPr>
          <w:rFonts w:ascii="Times New Roman" w:hAnsi="Times New Roman" w:cs="Times New Roman"/>
          <w:b/>
          <w:bCs/>
          <w:color w:val="231F20"/>
          <w:w w:val="95"/>
          <w:sz w:val="20"/>
          <w:szCs w:val="20"/>
        </w:rPr>
        <w:t>vi</w:t>
      </w:r>
      <w:r w:rsidRPr="00D52458">
        <w:rPr>
          <w:rFonts w:ascii="Times New Roman" w:hAnsi="Times New Roman" w:cs="Times New Roman"/>
          <w:b/>
          <w:bCs/>
          <w:color w:val="231F20"/>
          <w:spacing w:val="-2"/>
          <w:w w:val="95"/>
          <w:sz w:val="20"/>
          <w:szCs w:val="20"/>
        </w:rPr>
        <w:t>a</w:t>
      </w:r>
      <w:r w:rsidRPr="00D52458">
        <w:rPr>
          <w:rFonts w:ascii="Times New Roman" w:hAnsi="Times New Roman" w:cs="Times New Roman"/>
          <w:b/>
          <w:bCs/>
          <w:color w:val="231F20"/>
          <w:w w:val="95"/>
          <w:sz w:val="20"/>
          <w:szCs w:val="20"/>
        </w:rPr>
        <w:t>tions</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a</w:t>
      </w:r>
      <w:r w:rsidRPr="00D52458">
        <w:rPr>
          <w:rFonts w:ascii="Times New Roman" w:hAnsi="Times New Roman" w:cs="Times New Roman"/>
          <w:color w:val="231F20"/>
          <w:spacing w:val="-1"/>
          <w:w w:val="95"/>
          <w:sz w:val="20"/>
          <w:szCs w:val="20"/>
        </w:rPr>
        <w:t>n</w:t>
      </w:r>
      <w:r w:rsidRPr="00D52458">
        <w:rPr>
          <w:rFonts w:ascii="Times New Roman" w:hAnsi="Times New Roman" w:cs="Times New Roman"/>
          <w:color w:val="231F20"/>
          <w:w w:val="95"/>
          <w:sz w:val="20"/>
          <w:szCs w:val="20"/>
        </w:rPr>
        <w:t>ti</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HBs</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a</w:t>
      </w:r>
      <w:r w:rsidRPr="00D52458">
        <w:rPr>
          <w:rFonts w:ascii="Times New Roman" w:hAnsi="Times New Roman" w:cs="Times New Roman"/>
          <w:color w:val="231F20"/>
          <w:spacing w:val="-1"/>
          <w:w w:val="95"/>
          <w:sz w:val="20"/>
          <w:szCs w:val="20"/>
        </w:rPr>
        <w:t>n</w:t>
      </w:r>
      <w:r w:rsidRPr="00D52458">
        <w:rPr>
          <w:rFonts w:ascii="Times New Roman" w:hAnsi="Times New Roman" w:cs="Times New Roman"/>
          <w:color w:val="231F20"/>
          <w:w w:val="95"/>
          <w:sz w:val="20"/>
          <w:szCs w:val="20"/>
        </w:rPr>
        <w:t>tibody</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spacing w:val="-1"/>
          <w:w w:val="95"/>
          <w:sz w:val="20"/>
          <w:szCs w:val="20"/>
        </w:rPr>
        <w:t>t</w:t>
      </w:r>
      <w:r w:rsidRPr="00D52458">
        <w:rPr>
          <w:rFonts w:ascii="Times New Roman" w:hAnsi="Times New Roman" w:cs="Times New Roman"/>
          <w:color w:val="231F20"/>
          <w:w w:val="95"/>
          <w:sz w:val="20"/>
          <w:szCs w:val="20"/>
        </w:rPr>
        <w:t>o</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hep</w:t>
      </w:r>
      <w:r w:rsidRPr="00D52458">
        <w:rPr>
          <w:rFonts w:ascii="Times New Roman" w:hAnsi="Times New Roman" w:cs="Times New Roman"/>
          <w:color w:val="231F20"/>
          <w:spacing w:val="-1"/>
          <w:w w:val="95"/>
          <w:sz w:val="20"/>
          <w:szCs w:val="20"/>
        </w:rPr>
        <w:t>a</w:t>
      </w:r>
      <w:r w:rsidRPr="00D52458">
        <w:rPr>
          <w:rFonts w:ascii="Times New Roman" w:hAnsi="Times New Roman" w:cs="Times New Roman"/>
          <w:color w:val="231F20"/>
          <w:w w:val="95"/>
          <w:sz w:val="20"/>
          <w:szCs w:val="20"/>
        </w:rPr>
        <w:t>titis</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B</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su</w:t>
      </w:r>
      <w:r w:rsidRPr="00D52458">
        <w:rPr>
          <w:rFonts w:ascii="Times New Roman" w:hAnsi="Times New Roman" w:cs="Times New Roman"/>
          <w:color w:val="231F20"/>
          <w:spacing w:val="4"/>
          <w:w w:val="95"/>
          <w:sz w:val="20"/>
          <w:szCs w:val="20"/>
        </w:rPr>
        <w:t>r</w:t>
      </w:r>
      <w:r w:rsidRPr="00D52458">
        <w:rPr>
          <w:rFonts w:ascii="Times New Roman" w:hAnsi="Times New Roman" w:cs="Times New Roman"/>
          <w:color w:val="231F20"/>
          <w:w w:val="95"/>
          <w:sz w:val="20"/>
          <w:szCs w:val="20"/>
        </w:rPr>
        <w:t>fa</w:t>
      </w:r>
      <w:r w:rsidRPr="00D52458">
        <w:rPr>
          <w:rFonts w:ascii="Times New Roman" w:hAnsi="Times New Roman" w:cs="Times New Roman"/>
          <w:color w:val="231F20"/>
          <w:spacing w:val="-2"/>
          <w:w w:val="95"/>
          <w:sz w:val="20"/>
          <w:szCs w:val="20"/>
        </w:rPr>
        <w:t>c</w:t>
      </w:r>
      <w:r w:rsidRPr="00D52458">
        <w:rPr>
          <w:rFonts w:ascii="Times New Roman" w:hAnsi="Times New Roman" w:cs="Times New Roman"/>
          <w:color w:val="231F20"/>
          <w:w w:val="95"/>
          <w:sz w:val="20"/>
          <w:szCs w:val="20"/>
        </w:rPr>
        <w:t>e</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a</w:t>
      </w:r>
      <w:r w:rsidRPr="00D52458">
        <w:rPr>
          <w:rFonts w:ascii="Times New Roman" w:hAnsi="Times New Roman" w:cs="Times New Roman"/>
          <w:color w:val="231F20"/>
          <w:spacing w:val="-1"/>
          <w:w w:val="95"/>
          <w:sz w:val="20"/>
          <w:szCs w:val="20"/>
        </w:rPr>
        <w:t>n</w:t>
      </w:r>
      <w:r w:rsidRPr="00D52458">
        <w:rPr>
          <w:rFonts w:ascii="Times New Roman" w:hAnsi="Times New Roman" w:cs="Times New Roman"/>
          <w:color w:val="231F20"/>
          <w:w w:val="95"/>
          <w:sz w:val="20"/>
          <w:szCs w:val="20"/>
        </w:rPr>
        <w:t>tigen;</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HBIG</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hep</w:t>
      </w:r>
      <w:r w:rsidRPr="00D52458">
        <w:rPr>
          <w:rFonts w:ascii="Times New Roman" w:hAnsi="Times New Roman" w:cs="Times New Roman"/>
          <w:color w:val="231F20"/>
          <w:spacing w:val="-1"/>
          <w:w w:val="95"/>
          <w:sz w:val="20"/>
          <w:szCs w:val="20"/>
        </w:rPr>
        <w:t>a</w:t>
      </w:r>
      <w:r w:rsidRPr="00D52458">
        <w:rPr>
          <w:rFonts w:ascii="Times New Roman" w:hAnsi="Times New Roman" w:cs="Times New Roman"/>
          <w:color w:val="231F20"/>
          <w:w w:val="95"/>
          <w:sz w:val="20"/>
          <w:szCs w:val="20"/>
        </w:rPr>
        <w:t>titis</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B</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immune</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globulin;</w:t>
      </w:r>
      <w:r w:rsidRPr="00D52458">
        <w:rPr>
          <w:rFonts w:ascii="Times New Roman" w:hAnsi="Times New Roman" w:cs="Times New Roman"/>
          <w:color w:val="231F20"/>
          <w:spacing w:val="1"/>
          <w:w w:val="95"/>
          <w:sz w:val="20"/>
          <w:szCs w:val="20"/>
        </w:rPr>
        <w:t xml:space="preserve"> </w:t>
      </w:r>
      <w:proofErr w:type="spellStart"/>
      <w:r w:rsidRPr="00D52458">
        <w:rPr>
          <w:rFonts w:ascii="Times New Roman" w:hAnsi="Times New Roman" w:cs="Times New Roman"/>
          <w:color w:val="231F20"/>
          <w:w w:val="95"/>
          <w:sz w:val="20"/>
          <w:szCs w:val="20"/>
        </w:rPr>
        <w:t>HBs</w:t>
      </w:r>
      <w:r w:rsidRPr="00D52458">
        <w:rPr>
          <w:rFonts w:ascii="Times New Roman" w:hAnsi="Times New Roman" w:cs="Times New Roman"/>
          <w:color w:val="231F20"/>
          <w:spacing w:val="-3"/>
          <w:w w:val="95"/>
          <w:sz w:val="20"/>
          <w:szCs w:val="20"/>
        </w:rPr>
        <w:t>A</w:t>
      </w:r>
      <w:r w:rsidRPr="00D52458">
        <w:rPr>
          <w:rFonts w:ascii="Times New Roman" w:hAnsi="Times New Roman" w:cs="Times New Roman"/>
          <w:color w:val="231F20"/>
          <w:w w:val="95"/>
          <w:sz w:val="20"/>
          <w:szCs w:val="20"/>
        </w:rPr>
        <w:t>g</w:t>
      </w:r>
      <w:proofErr w:type="spellEnd"/>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hep</w:t>
      </w:r>
      <w:r w:rsidRPr="00D52458">
        <w:rPr>
          <w:rFonts w:ascii="Times New Roman" w:hAnsi="Times New Roman" w:cs="Times New Roman"/>
          <w:color w:val="231F20"/>
          <w:spacing w:val="-1"/>
          <w:w w:val="95"/>
          <w:sz w:val="20"/>
          <w:szCs w:val="20"/>
        </w:rPr>
        <w:t>a</w:t>
      </w:r>
      <w:r w:rsidRPr="00D52458">
        <w:rPr>
          <w:rFonts w:ascii="Times New Roman" w:hAnsi="Times New Roman" w:cs="Times New Roman"/>
          <w:color w:val="231F20"/>
          <w:w w:val="95"/>
          <w:sz w:val="20"/>
          <w:szCs w:val="20"/>
        </w:rPr>
        <w:t>titis</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B</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su</w:t>
      </w:r>
      <w:r w:rsidRPr="00D52458">
        <w:rPr>
          <w:rFonts w:ascii="Times New Roman" w:hAnsi="Times New Roman" w:cs="Times New Roman"/>
          <w:color w:val="231F20"/>
          <w:spacing w:val="4"/>
          <w:w w:val="95"/>
          <w:sz w:val="20"/>
          <w:szCs w:val="20"/>
        </w:rPr>
        <w:t>r</w:t>
      </w:r>
      <w:r w:rsidRPr="00D52458">
        <w:rPr>
          <w:rFonts w:ascii="Times New Roman" w:hAnsi="Times New Roman" w:cs="Times New Roman"/>
          <w:color w:val="231F20"/>
          <w:w w:val="95"/>
          <w:sz w:val="20"/>
          <w:szCs w:val="20"/>
        </w:rPr>
        <w:t>fa</w:t>
      </w:r>
      <w:r w:rsidRPr="00D52458">
        <w:rPr>
          <w:rFonts w:ascii="Times New Roman" w:hAnsi="Times New Roman" w:cs="Times New Roman"/>
          <w:color w:val="231F20"/>
          <w:spacing w:val="-2"/>
          <w:w w:val="95"/>
          <w:sz w:val="20"/>
          <w:szCs w:val="20"/>
        </w:rPr>
        <w:t>c</w:t>
      </w:r>
      <w:r w:rsidRPr="00D52458">
        <w:rPr>
          <w:rFonts w:ascii="Times New Roman" w:hAnsi="Times New Roman" w:cs="Times New Roman"/>
          <w:color w:val="231F20"/>
          <w:w w:val="95"/>
          <w:sz w:val="20"/>
          <w:szCs w:val="20"/>
        </w:rPr>
        <w:t>e</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a</w:t>
      </w:r>
      <w:r w:rsidRPr="00D52458">
        <w:rPr>
          <w:rFonts w:ascii="Times New Roman" w:hAnsi="Times New Roman" w:cs="Times New Roman"/>
          <w:color w:val="231F20"/>
          <w:spacing w:val="-1"/>
          <w:w w:val="95"/>
          <w:sz w:val="20"/>
          <w:szCs w:val="20"/>
        </w:rPr>
        <w:t>n</w:t>
      </w:r>
      <w:r w:rsidRPr="00D52458">
        <w:rPr>
          <w:rFonts w:ascii="Times New Roman" w:hAnsi="Times New Roman" w:cs="Times New Roman"/>
          <w:color w:val="231F20"/>
          <w:w w:val="95"/>
          <w:sz w:val="20"/>
          <w:szCs w:val="20"/>
        </w:rPr>
        <w:t>tigen;</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spacing w:val="1"/>
          <w:w w:val="95"/>
          <w:sz w:val="20"/>
          <w:szCs w:val="20"/>
        </w:rPr>
        <w:br/>
      </w:r>
      <w:r w:rsidRPr="00D52458">
        <w:rPr>
          <w:rFonts w:ascii="Times New Roman" w:hAnsi="Times New Roman" w:cs="Times New Roman"/>
          <w:color w:val="231F20"/>
          <w:w w:val="95"/>
          <w:sz w:val="20"/>
          <w:szCs w:val="20"/>
        </w:rPr>
        <w:t>HCP</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health</w:t>
      </w:r>
      <w:r w:rsidRPr="00D52458">
        <w:rPr>
          <w:rFonts w:ascii="Times New Roman" w:hAnsi="Times New Roman" w:cs="Times New Roman"/>
          <w:color w:val="231F20"/>
          <w:spacing w:val="1"/>
          <w:w w:val="95"/>
          <w:sz w:val="20"/>
          <w:szCs w:val="20"/>
        </w:rPr>
        <w:t xml:space="preserve"> </w:t>
      </w:r>
      <w:r w:rsidRPr="00D52458">
        <w:rPr>
          <w:rFonts w:ascii="Times New Roman" w:hAnsi="Times New Roman" w:cs="Times New Roman"/>
          <w:color w:val="231F20"/>
          <w:w w:val="95"/>
          <w:sz w:val="20"/>
          <w:szCs w:val="20"/>
        </w:rPr>
        <w:t>ca</w:t>
      </w:r>
      <w:r w:rsidRPr="00D52458">
        <w:rPr>
          <w:rFonts w:ascii="Times New Roman" w:hAnsi="Times New Roman" w:cs="Times New Roman"/>
          <w:color w:val="231F20"/>
          <w:spacing w:val="-3"/>
          <w:w w:val="95"/>
          <w:sz w:val="20"/>
          <w:szCs w:val="20"/>
        </w:rPr>
        <w:t>r</w:t>
      </w:r>
      <w:r w:rsidRPr="00D52458">
        <w:rPr>
          <w:rFonts w:ascii="Times New Roman" w:hAnsi="Times New Roman" w:cs="Times New Roman"/>
          <w:color w:val="231F20"/>
          <w:w w:val="95"/>
          <w:sz w:val="20"/>
          <w:szCs w:val="20"/>
        </w:rPr>
        <w:t>e</w:t>
      </w:r>
      <w:r w:rsidRPr="00D52458">
        <w:rPr>
          <w:rFonts w:ascii="Times New Roman" w:hAnsi="Times New Roman" w:cs="Times New Roman"/>
          <w:color w:val="231F20"/>
          <w:w w:val="90"/>
          <w:sz w:val="20"/>
          <w:szCs w:val="20"/>
        </w:rPr>
        <w:t xml:space="preserve"> </w:t>
      </w:r>
      <w:r w:rsidRPr="00D52458">
        <w:rPr>
          <w:rFonts w:ascii="Times New Roman" w:hAnsi="Times New Roman" w:cs="Times New Roman"/>
          <w:color w:val="231F20"/>
          <w:w w:val="95"/>
          <w:sz w:val="20"/>
          <w:szCs w:val="20"/>
        </w:rPr>
        <w:t>personnel;</w:t>
      </w:r>
      <w:r w:rsidRPr="00D52458">
        <w:rPr>
          <w:rFonts w:ascii="Times New Roman" w:hAnsi="Times New Roman" w:cs="Times New Roman"/>
          <w:color w:val="231F20"/>
          <w:spacing w:val="-5"/>
          <w:w w:val="95"/>
          <w:sz w:val="20"/>
          <w:szCs w:val="20"/>
        </w:rPr>
        <w:t xml:space="preserve"> </w:t>
      </w:r>
      <w:r w:rsidRPr="00D52458">
        <w:rPr>
          <w:rFonts w:ascii="Times New Roman" w:hAnsi="Times New Roman" w:cs="Times New Roman"/>
          <w:color w:val="231F20"/>
          <w:w w:val="95"/>
          <w:sz w:val="20"/>
          <w:szCs w:val="20"/>
        </w:rPr>
        <w:t>N/A</w:t>
      </w:r>
      <w:r w:rsidRPr="00D52458">
        <w:rPr>
          <w:rFonts w:ascii="Times New Roman" w:hAnsi="Times New Roman" w:cs="Times New Roman"/>
          <w:color w:val="231F20"/>
          <w:spacing w:val="-4"/>
          <w:w w:val="95"/>
          <w:sz w:val="20"/>
          <w:szCs w:val="20"/>
        </w:rPr>
        <w:t xml:space="preserve"> </w:t>
      </w:r>
      <w:r w:rsidRPr="00D52458">
        <w:rPr>
          <w:rFonts w:ascii="Times New Roman" w:hAnsi="Times New Roman" w:cs="Times New Roman"/>
          <w:color w:val="231F20"/>
          <w:w w:val="95"/>
          <w:sz w:val="20"/>
          <w:szCs w:val="20"/>
        </w:rPr>
        <w:t>=</w:t>
      </w:r>
      <w:r w:rsidRPr="00D52458">
        <w:rPr>
          <w:rFonts w:ascii="Times New Roman" w:hAnsi="Times New Roman" w:cs="Times New Roman"/>
          <w:color w:val="231F20"/>
          <w:spacing w:val="-5"/>
          <w:w w:val="95"/>
          <w:sz w:val="20"/>
          <w:szCs w:val="20"/>
        </w:rPr>
        <w:t xml:space="preserve"> </w:t>
      </w:r>
      <w:r w:rsidRPr="00D52458">
        <w:rPr>
          <w:rFonts w:ascii="Times New Roman" w:hAnsi="Times New Roman" w:cs="Times New Roman"/>
          <w:color w:val="231F20"/>
          <w:w w:val="95"/>
          <w:sz w:val="20"/>
          <w:szCs w:val="20"/>
        </w:rPr>
        <w:t>not</w:t>
      </w:r>
      <w:r w:rsidRPr="00D52458">
        <w:rPr>
          <w:rFonts w:ascii="Times New Roman" w:hAnsi="Times New Roman" w:cs="Times New Roman"/>
          <w:color w:val="231F20"/>
          <w:spacing w:val="-4"/>
          <w:w w:val="95"/>
          <w:sz w:val="20"/>
          <w:szCs w:val="20"/>
        </w:rPr>
        <w:t xml:space="preserve"> </w:t>
      </w:r>
      <w:r w:rsidRPr="00D52458">
        <w:rPr>
          <w:rFonts w:ascii="Times New Roman" w:hAnsi="Times New Roman" w:cs="Times New Roman"/>
          <w:color w:val="231F20"/>
          <w:w w:val="95"/>
          <w:sz w:val="20"/>
          <w:szCs w:val="20"/>
        </w:rPr>
        <w:t>applicabl</w:t>
      </w:r>
      <w:r w:rsidRPr="00D52458">
        <w:rPr>
          <w:rFonts w:ascii="Times New Roman" w:hAnsi="Times New Roman" w:cs="Times New Roman"/>
          <w:color w:val="231F20"/>
          <w:spacing w:val="-2"/>
          <w:w w:val="95"/>
          <w:sz w:val="20"/>
          <w:szCs w:val="20"/>
        </w:rPr>
        <w:t>e</w:t>
      </w:r>
      <w:r w:rsidRPr="00D52458">
        <w:rPr>
          <w:rFonts w:ascii="Times New Roman" w:hAnsi="Times New Roman" w:cs="Times New Roman"/>
          <w:color w:val="231F20"/>
          <w:w w:val="95"/>
          <w:sz w:val="20"/>
          <w:szCs w:val="20"/>
        </w:rPr>
        <w:t>.</w:t>
      </w:r>
    </w:p>
    <w:p w:rsidR="00D52458" w:rsidRPr="00D52458" w:rsidRDefault="00D52458" w:rsidP="00D52458">
      <w:pPr>
        <w:kinsoku w:val="0"/>
        <w:overflowPunct w:val="0"/>
        <w:autoSpaceDE w:val="0"/>
        <w:autoSpaceDN w:val="0"/>
        <w:adjustRightInd w:val="0"/>
        <w:spacing w:before="120" w:after="0" w:line="240" w:lineRule="auto"/>
        <w:rPr>
          <w:rFonts w:ascii="Times New Roman" w:hAnsi="Times New Roman" w:cs="Times New Roman"/>
          <w:color w:val="000000"/>
          <w:sz w:val="20"/>
          <w:szCs w:val="20"/>
        </w:rPr>
      </w:pPr>
      <w:r w:rsidRPr="00D52458">
        <w:rPr>
          <w:rFonts w:ascii="Times New Roman" w:hAnsi="Times New Roman" w:cs="Times New Roman"/>
          <w:color w:val="231F20"/>
          <w:sz w:val="20"/>
          <w:szCs w:val="20"/>
        </w:rPr>
        <w:t>*</w:t>
      </w:r>
      <w:r w:rsidRPr="00D52458">
        <w:rPr>
          <w:rFonts w:ascii="Times New Roman" w:hAnsi="Times New Roman" w:cs="Times New Roman"/>
          <w:color w:val="231F20"/>
          <w:spacing w:val="-25"/>
          <w:sz w:val="20"/>
          <w:szCs w:val="20"/>
        </w:rPr>
        <w:t xml:space="preserve"> </w:t>
      </w:r>
      <w:r w:rsidRPr="00D52458">
        <w:rPr>
          <w:rFonts w:ascii="Times New Roman" w:hAnsi="Times New Roman" w:cs="Times New Roman"/>
          <w:color w:val="231F20"/>
          <w:sz w:val="20"/>
          <w:szCs w:val="20"/>
        </w:rPr>
        <w:t>Not</w:t>
      </w:r>
      <w:r w:rsidRPr="00D52458">
        <w:rPr>
          <w:rFonts w:ascii="Times New Roman" w:hAnsi="Times New Roman" w:cs="Times New Roman"/>
          <w:color w:val="231F20"/>
          <w:spacing w:val="-25"/>
          <w:sz w:val="20"/>
          <w:szCs w:val="20"/>
        </w:rPr>
        <w:t xml:space="preserve"> </w:t>
      </w:r>
      <w:r w:rsidRPr="00D52458">
        <w:rPr>
          <w:rFonts w:ascii="Times New Roman" w:hAnsi="Times New Roman" w:cs="Times New Roman"/>
          <w:color w:val="231F20"/>
          <w:sz w:val="20"/>
          <w:szCs w:val="20"/>
        </w:rPr>
        <w:t>indic</w:t>
      </w:r>
      <w:r w:rsidRPr="00D52458">
        <w:rPr>
          <w:rFonts w:ascii="Times New Roman" w:hAnsi="Times New Roman" w:cs="Times New Roman"/>
          <w:color w:val="231F20"/>
          <w:spacing w:val="-2"/>
          <w:sz w:val="20"/>
          <w:szCs w:val="20"/>
        </w:rPr>
        <w:t>a</w:t>
      </w:r>
      <w:r w:rsidRPr="00D52458">
        <w:rPr>
          <w:rFonts w:ascii="Times New Roman" w:hAnsi="Times New Roman" w:cs="Times New Roman"/>
          <w:color w:val="231F20"/>
          <w:spacing w:val="-1"/>
          <w:sz w:val="20"/>
          <w:szCs w:val="20"/>
        </w:rPr>
        <w:t>t</w:t>
      </w:r>
      <w:r w:rsidRPr="00D52458">
        <w:rPr>
          <w:rFonts w:ascii="Times New Roman" w:hAnsi="Times New Roman" w:cs="Times New Roman"/>
          <w:color w:val="231F20"/>
          <w:sz w:val="20"/>
          <w:szCs w:val="20"/>
        </w:rPr>
        <w:t>e</w:t>
      </w:r>
      <w:r w:rsidRPr="00D52458">
        <w:rPr>
          <w:rFonts w:ascii="Times New Roman" w:hAnsi="Times New Roman" w:cs="Times New Roman"/>
          <w:color w:val="231F20"/>
          <w:spacing w:val="-3"/>
          <w:sz w:val="20"/>
          <w:szCs w:val="20"/>
        </w:rPr>
        <w:t>d</w:t>
      </w:r>
      <w:r w:rsidRPr="00D52458">
        <w:rPr>
          <w:rFonts w:ascii="Times New Roman" w:hAnsi="Times New Roman" w:cs="Times New Roman"/>
          <w:color w:val="231F20"/>
          <w:sz w:val="20"/>
          <w:szCs w:val="20"/>
        </w:rPr>
        <w:t>.</w:t>
      </w:r>
    </w:p>
    <w:p w:rsidR="00D52458" w:rsidRPr="00D52458" w:rsidRDefault="00D52458" w:rsidP="00D52458">
      <w:pPr>
        <w:spacing w:after="0" w:line="240" w:lineRule="auto"/>
        <w:rPr>
          <w:rFonts w:ascii="Times New Roman" w:eastAsia="Times New Roman" w:hAnsi="Times New Roman" w:cs="Times New Roman"/>
          <w:color w:val="000000"/>
          <w:sz w:val="24"/>
          <w:szCs w:val="20"/>
        </w:rPr>
      </w:pPr>
    </w:p>
    <w:p w:rsidR="00D52458" w:rsidRPr="00D52458" w:rsidRDefault="00D52458" w:rsidP="00D52458">
      <w:pPr>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br w:type="page"/>
      </w:r>
    </w:p>
    <w:p w:rsidR="00D52458" w:rsidRPr="00D52458" w:rsidRDefault="00D52458" w:rsidP="00D52458">
      <w:pPr>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120" w:line="240" w:lineRule="auto"/>
        <w:jc w:val="both"/>
        <w:rPr>
          <w:rFonts w:ascii="Times New Roman" w:hAnsi="Times New Roman" w:cs="Times New Roman"/>
          <w:color w:val="000000"/>
          <w:sz w:val="24"/>
          <w:szCs w:val="24"/>
        </w:rPr>
      </w:pPr>
      <w:r w:rsidRPr="00D52458">
        <w:rPr>
          <w:rFonts w:ascii="Times New Roman" w:hAnsi="Times New Roman" w:cs="Times New Roman"/>
          <w:b/>
          <w:bCs/>
          <w:color w:val="000000"/>
          <w:sz w:val="24"/>
          <w:szCs w:val="24"/>
        </w:rPr>
        <w:t xml:space="preserve">TABLE 6.  </w:t>
      </w:r>
      <w:proofErr w:type="spellStart"/>
      <w:r w:rsidRPr="00D52458">
        <w:rPr>
          <w:rFonts w:ascii="Times New Roman" w:hAnsi="Times New Roman" w:cs="Times New Roman"/>
          <w:b/>
          <w:bCs/>
          <w:color w:val="000000"/>
          <w:sz w:val="24"/>
          <w:szCs w:val="24"/>
        </w:rPr>
        <w:t>Postexposure</w:t>
      </w:r>
      <w:proofErr w:type="spellEnd"/>
      <w:r w:rsidRPr="00D52458">
        <w:rPr>
          <w:rFonts w:ascii="Times New Roman" w:hAnsi="Times New Roman" w:cs="Times New Roman"/>
          <w:b/>
          <w:bCs/>
          <w:color w:val="000000"/>
          <w:sz w:val="24"/>
          <w:szCs w:val="24"/>
        </w:rPr>
        <w:t xml:space="preserve"> management after distinct </w:t>
      </w:r>
      <w:proofErr w:type="spellStart"/>
      <w:r w:rsidRPr="00D52458">
        <w:rPr>
          <w:rFonts w:ascii="Times New Roman" w:hAnsi="Times New Roman" w:cs="Times New Roman"/>
          <w:b/>
          <w:bCs/>
          <w:color w:val="000000"/>
          <w:sz w:val="24"/>
          <w:szCs w:val="24"/>
        </w:rPr>
        <w:t>nonoccupational</w:t>
      </w:r>
      <w:proofErr w:type="spellEnd"/>
      <w:r w:rsidRPr="00D52458">
        <w:rPr>
          <w:rFonts w:ascii="Times New Roman" w:hAnsi="Times New Roman" w:cs="Times New Roman"/>
          <w:b/>
          <w:bCs/>
          <w:color w:val="000000"/>
          <w:sz w:val="24"/>
          <w:szCs w:val="24"/>
        </w:rPr>
        <w:t xml:space="preserve"> percutaneous or mucosal exposure to blood or body fluids </w:t>
      </w:r>
    </w:p>
    <w:tbl>
      <w:tblPr>
        <w:tblW w:w="12960" w:type="dxa"/>
        <w:tblBorders>
          <w:top w:val="nil"/>
          <w:left w:val="nil"/>
          <w:bottom w:val="nil"/>
          <w:right w:val="nil"/>
        </w:tblBorders>
        <w:tblLayout w:type="fixed"/>
        <w:tblLook w:val="0000" w:firstRow="0" w:lastRow="0" w:firstColumn="0" w:lastColumn="0" w:noHBand="0" w:noVBand="0"/>
      </w:tblPr>
      <w:tblGrid>
        <w:gridCol w:w="3600"/>
        <w:gridCol w:w="4410"/>
        <w:gridCol w:w="4950"/>
      </w:tblGrid>
      <w:tr w:rsidR="00D52458" w:rsidRPr="00D52458" w:rsidTr="00761C75">
        <w:trPr>
          <w:trHeight w:val="238"/>
        </w:trPr>
        <w:tc>
          <w:tcPr>
            <w:tcW w:w="3600" w:type="dxa"/>
            <w:tcBorders>
              <w:bottom w:val="single" w:sz="4" w:space="0" w:color="auto"/>
            </w:tcBorders>
          </w:tcPr>
          <w:p w:rsidR="00D52458" w:rsidRPr="00D52458" w:rsidRDefault="00D52458" w:rsidP="00D52458">
            <w:pPr>
              <w:autoSpaceDE w:val="0"/>
              <w:autoSpaceDN w:val="0"/>
              <w:adjustRightInd w:val="0"/>
              <w:spacing w:before="120" w:after="120" w:line="240" w:lineRule="auto"/>
              <w:rPr>
                <w:rFonts w:ascii="Times New Roman" w:hAnsi="Times New Roman" w:cs="Times New Roman"/>
                <w:color w:val="221E1F"/>
                <w:sz w:val="24"/>
                <w:szCs w:val="24"/>
              </w:rPr>
            </w:pPr>
          </w:p>
        </w:tc>
        <w:tc>
          <w:tcPr>
            <w:tcW w:w="9360" w:type="dxa"/>
            <w:gridSpan w:val="2"/>
            <w:tcBorders>
              <w:bottom w:val="single" w:sz="4" w:space="0" w:color="auto"/>
            </w:tcBorders>
          </w:tcPr>
          <w:p w:rsidR="00D52458" w:rsidRPr="00D52458" w:rsidRDefault="00D52458" w:rsidP="00D52458">
            <w:pPr>
              <w:autoSpaceDE w:val="0"/>
              <w:autoSpaceDN w:val="0"/>
              <w:adjustRightInd w:val="0"/>
              <w:spacing w:before="120" w:after="120" w:line="240" w:lineRule="auto"/>
              <w:jc w:val="center"/>
              <w:rPr>
                <w:rFonts w:ascii="Times New Roman" w:hAnsi="Times New Roman" w:cs="Times New Roman"/>
                <w:color w:val="221E1F"/>
                <w:sz w:val="24"/>
                <w:szCs w:val="24"/>
              </w:rPr>
            </w:pPr>
            <w:r w:rsidRPr="00D52458">
              <w:rPr>
                <w:rFonts w:ascii="Times New Roman" w:hAnsi="Times New Roman" w:cs="Times New Roman"/>
                <w:b/>
                <w:bCs/>
                <w:color w:val="221E1F"/>
                <w:sz w:val="24"/>
                <w:szCs w:val="24"/>
              </w:rPr>
              <w:t>Management</w:t>
            </w:r>
          </w:p>
        </w:tc>
      </w:tr>
      <w:tr w:rsidR="00D52458" w:rsidRPr="00D52458" w:rsidTr="00761C75">
        <w:trPr>
          <w:trHeight w:val="96"/>
        </w:trPr>
        <w:tc>
          <w:tcPr>
            <w:tcW w:w="3600" w:type="dxa"/>
            <w:tcBorders>
              <w:top w:val="nil"/>
              <w:bottom w:val="single" w:sz="4" w:space="0" w:color="auto"/>
            </w:tcBorders>
          </w:tcPr>
          <w:p w:rsidR="00D52458" w:rsidRPr="00D52458" w:rsidRDefault="00D52458" w:rsidP="00D52458">
            <w:pPr>
              <w:autoSpaceDE w:val="0"/>
              <w:autoSpaceDN w:val="0"/>
              <w:adjustRightInd w:val="0"/>
              <w:spacing w:before="120" w:after="120" w:line="240" w:lineRule="auto"/>
              <w:rPr>
                <w:rFonts w:ascii="Times New Roman" w:hAnsi="Times New Roman" w:cs="Times New Roman"/>
                <w:color w:val="221E1F"/>
                <w:sz w:val="24"/>
                <w:szCs w:val="24"/>
              </w:rPr>
            </w:pPr>
            <w:r w:rsidRPr="00D52458">
              <w:rPr>
                <w:rFonts w:ascii="Times New Roman" w:hAnsi="Times New Roman" w:cs="Times New Roman"/>
                <w:b/>
                <w:bCs/>
                <w:color w:val="221E1F"/>
                <w:sz w:val="24"/>
                <w:szCs w:val="24"/>
              </w:rPr>
              <w:t>Exposure*</w:t>
            </w:r>
          </w:p>
        </w:tc>
        <w:tc>
          <w:tcPr>
            <w:tcW w:w="4410" w:type="dxa"/>
            <w:tcBorders>
              <w:top w:val="nil"/>
              <w:bottom w:val="single" w:sz="4" w:space="0" w:color="auto"/>
            </w:tcBorders>
          </w:tcPr>
          <w:p w:rsidR="00D52458" w:rsidRPr="00D52458" w:rsidRDefault="00D52458" w:rsidP="00D52458">
            <w:pPr>
              <w:autoSpaceDE w:val="0"/>
              <w:autoSpaceDN w:val="0"/>
              <w:adjustRightInd w:val="0"/>
              <w:spacing w:before="120" w:after="120" w:line="240" w:lineRule="auto"/>
              <w:jc w:val="center"/>
              <w:rPr>
                <w:rFonts w:ascii="Times New Roman" w:hAnsi="Times New Roman" w:cs="Times New Roman"/>
                <w:color w:val="221E1F"/>
                <w:sz w:val="24"/>
                <w:szCs w:val="24"/>
              </w:rPr>
            </w:pPr>
            <w:r w:rsidRPr="00D52458">
              <w:rPr>
                <w:rFonts w:ascii="Times New Roman" w:hAnsi="Times New Roman" w:cs="Times New Roman"/>
                <w:b/>
                <w:bCs/>
                <w:color w:val="221E1F"/>
                <w:sz w:val="24"/>
                <w:szCs w:val="24"/>
              </w:rPr>
              <w:t>Unvaccinated person</w:t>
            </w:r>
          </w:p>
        </w:tc>
        <w:tc>
          <w:tcPr>
            <w:tcW w:w="4950" w:type="dxa"/>
            <w:tcBorders>
              <w:top w:val="nil"/>
              <w:bottom w:val="single" w:sz="4" w:space="0" w:color="auto"/>
            </w:tcBorders>
          </w:tcPr>
          <w:p w:rsidR="00D52458" w:rsidRPr="00D52458" w:rsidRDefault="00D52458" w:rsidP="00D52458">
            <w:pPr>
              <w:tabs>
                <w:tab w:val="left" w:pos="435"/>
              </w:tabs>
              <w:autoSpaceDE w:val="0"/>
              <w:autoSpaceDN w:val="0"/>
              <w:adjustRightInd w:val="0"/>
              <w:spacing w:before="120" w:after="120" w:line="240" w:lineRule="auto"/>
              <w:jc w:val="center"/>
              <w:rPr>
                <w:rFonts w:ascii="Times New Roman" w:hAnsi="Times New Roman" w:cs="Times New Roman"/>
                <w:color w:val="221E1F"/>
                <w:sz w:val="24"/>
                <w:szCs w:val="24"/>
              </w:rPr>
            </w:pPr>
            <w:r w:rsidRPr="00D52458">
              <w:rPr>
                <w:rFonts w:ascii="Times New Roman" w:hAnsi="Times New Roman" w:cs="Times New Roman"/>
                <w:b/>
                <w:bCs/>
                <w:color w:val="221E1F"/>
                <w:sz w:val="24"/>
                <w:szCs w:val="24"/>
              </w:rPr>
              <w:t>Previously vaccinated person</w:t>
            </w:r>
          </w:p>
        </w:tc>
      </w:tr>
      <w:tr w:rsidR="00D52458" w:rsidRPr="00D52458" w:rsidTr="00761C75">
        <w:trPr>
          <w:trHeight w:val="96"/>
        </w:trPr>
        <w:tc>
          <w:tcPr>
            <w:tcW w:w="3600" w:type="dxa"/>
            <w:tcBorders>
              <w:top w:val="single" w:sz="4" w:space="0" w:color="auto"/>
              <w:bottom w:val="nil"/>
            </w:tcBorders>
          </w:tcPr>
          <w:p w:rsidR="00D52458" w:rsidRPr="00D52458" w:rsidRDefault="00D52458" w:rsidP="00D52458">
            <w:pPr>
              <w:autoSpaceDE w:val="0"/>
              <w:autoSpaceDN w:val="0"/>
              <w:adjustRightInd w:val="0"/>
              <w:spacing w:before="120" w:after="120" w:line="240" w:lineRule="auto"/>
              <w:rPr>
                <w:rFonts w:ascii="Times New Roman" w:hAnsi="Times New Roman" w:cs="Times New Roman"/>
                <w:color w:val="221E1F"/>
                <w:sz w:val="24"/>
                <w:szCs w:val="24"/>
              </w:rPr>
            </w:pPr>
            <w:proofErr w:type="spellStart"/>
            <w:r w:rsidRPr="00D52458">
              <w:rPr>
                <w:rFonts w:ascii="Times New Roman" w:hAnsi="Times New Roman" w:cs="Times New Roman"/>
                <w:color w:val="221E1F"/>
                <w:sz w:val="24"/>
                <w:szCs w:val="24"/>
              </w:rPr>
              <w:t>HBsAg</w:t>
            </w:r>
            <w:proofErr w:type="spellEnd"/>
            <w:r w:rsidRPr="00D52458">
              <w:rPr>
                <w:rFonts w:ascii="Times New Roman" w:hAnsi="Times New Roman" w:cs="Times New Roman"/>
                <w:color w:val="221E1F"/>
                <w:sz w:val="24"/>
                <w:szCs w:val="24"/>
              </w:rPr>
              <w:t>-positive source</w:t>
            </w:r>
          </w:p>
        </w:tc>
        <w:tc>
          <w:tcPr>
            <w:tcW w:w="4410" w:type="dxa"/>
            <w:tcBorders>
              <w:top w:val="single" w:sz="4" w:space="0" w:color="auto"/>
              <w:bottom w:val="nil"/>
            </w:tcBorders>
          </w:tcPr>
          <w:p w:rsidR="00D52458" w:rsidRPr="00D52458" w:rsidRDefault="00D52458" w:rsidP="00D52458">
            <w:pPr>
              <w:autoSpaceDE w:val="0"/>
              <w:autoSpaceDN w:val="0"/>
              <w:adjustRightInd w:val="0"/>
              <w:spacing w:before="120" w:after="120" w:line="240" w:lineRule="auto"/>
              <w:jc w:val="center"/>
              <w:rPr>
                <w:rFonts w:ascii="Times New Roman" w:hAnsi="Times New Roman" w:cs="Times New Roman"/>
                <w:color w:val="221E1F"/>
                <w:sz w:val="24"/>
                <w:szCs w:val="24"/>
              </w:rPr>
            </w:pPr>
            <w:proofErr w:type="spellStart"/>
            <w:r w:rsidRPr="00D52458">
              <w:rPr>
                <w:rFonts w:ascii="Times New Roman" w:hAnsi="Times New Roman" w:cs="Times New Roman"/>
                <w:color w:val="221E1F"/>
                <w:sz w:val="24"/>
                <w:szCs w:val="24"/>
              </w:rPr>
              <w:t>HepB</w:t>
            </w:r>
            <w:proofErr w:type="spellEnd"/>
            <w:r w:rsidRPr="00D52458">
              <w:rPr>
                <w:rFonts w:ascii="Times New Roman" w:hAnsi="Times New Roman" w:cs="Times New Roman"/>
                <w:color w:val="221E1F"/>
                <w:sz w:val="24"/>
                <w:szCs w:val="24"/>
              </w:rPr>
              <w:t xml:space="preserve"> vaccine series and HBIG</w:t>
            </w:r>
          </w:p>
        </w:tc>
        <w:tc>
          <w:tcPr>
            <w:tcW w:w="4950" w:type="dxa"/>
            <w:tcBorders>
              <w:top w:val="single" w:sz="4" w:space="0" w:color="auto"/>
              <w:bottom w:val="nil"/>
            </w:tcBorders>
          </w:tcPr>
          <w:p w:rsidR="00D52458" w:rsidRPr="00D52458" w:rsidRDefault="00D52458" w:rsidP="00D52458">
            <w:pPr>
              <w:autoSpaceDE w:val="0"/>
              <w:autoSpaceDN w:val="0"/>
              <w:adjustRightInd w:val="0"/>
              <w:spacing w:before="120" w:after="120" w:line="240" w:lineRule="auto"/>
              <w:ind w:left="345" w:hanging="360"/>
              <w:jc w:val="center"/>
              <w:rPr>
                <w:rFonts w:ascii="Times New Roman" w:hAnsi="Times New Roman" w:cs="Times New Roman"/>
                <w:color w:val="221E1F"/>
                <w:sz w:val="24"/>
                <w:szCs w:val="24"/>
              </w:rPr>
            </w:pPr>
            <w:proofErr w:type="spellStart"/>
            <w:r w:rsidRPr="00D52458">
              <w:rPr>
                <w:rFonts w:ascii="Times New Roman" w:hAnsi="Times New Roman" w:cs="Times New Roman"/>
                <w:color w:val="221E1F"/>
                <w:sz w:val="24"/>
                <w:szCs w:val="24"/>
              </w:rPr>
              <w:t>HepB</w:t>
            </w:r>
            <w:proofErr w:type="spellEnd"/>
            <w:r w:rsidRPr="00D52458">
              <w:rPr>
                <w:rFonts w:ascii="Times New Roman" w:hAnsi="Times New Roman" w:cs="Times New Roman"/>
                <w:color w:val="221E1F"/>
                <w:sz w:val="24"/>
                <w:szCs w:val="24"/>
              </w:rPr>
              <w:t xml:space="preserve"> vaccine dose</w:t>
            </w:r>
          </w:p>
        </w:tc>
      </w:tr>
      <w:tr w:rsidR="00D52458" w:rsidRPr="00D52458" w:rsidTr="00761C75">
        <w:trPr>
          <w:trHeight w:val="96"/>
        </w:trPr>
        <w:tc>
          <w:tcPr>
            <w:tcW w:w="3600" w:type="dxa"/>
            <w:tcBorders>
              <w:top w:val="nil"/>
              <w:bottom w:val="single" w:sz="4" w:space="0" w:color="auto"/>
            </w:tcBorders>
          </w:tcPr>
          <w:p w:rsidR="00D52458" w:rsidRPr="00D52458" w:rsidRDefault="00D52458" w:rsidP="00D52458">
            <w:pPr>
              <w:autoSpaceDE w:val="0"/>
              <w:autoSpaceDN w:val="0"/>
              <w:adjustRightInd w:val="0"/>
              <w:spacing w:before="120" w:after="120" w:line="240" w:lineRule="auto"/>
              <w:rPr>
                <w:rFonts w:ascii="Times New Roman" w:hAnsi="Times New Roman" w:cs="Times New Roman"/>
                <w:color w:val="221E1F"/>
                <w:sz w:val="24"/>
                <w:szCs w:val="24"/>
              </w:rPr>
            </w:pPr>
            <w:proofErr w:type="spellStart"/>
            <w:r w:rsidRPr="00D52458">
              <w:rPr>
                <w:rFonts w:ascii="Times New Roman" w:hAnsi="Times New Roman" w:cs="Times New Roman"/>
                <w:color w:val="221E1F"/>
                <w:sz w:val="24"/>
                <w:szCs w:val="24"/>
              </w:rPr>
              <w:t>HBsAg</w:t>
            </w:r>
            <w:proofErr w:type="spellEnd"/>
            <w:r w:rsidRPr="00D52458">
              <w:rPr>
                <w:rFonts w:ascii="Times New Roman" w:hAnsi="Times New Roman" w:cs="Times New Roman"/>
                <w:color w:val="221E1F"/>
                <w:sz w:val="24"/>
                <w:szCs w:val="24"/>
              </w:rPr>
              <w:t xml:space="preserve"> status unknown for source</w:t>
            </w:r>
          </w:p>
        </w:tc>
        <w:tc>
          <w:tcPr>
            <w:tcW w:w="4410" w:type="dxa"/>
            <w:tcBorders>
              <w:top w:val="nil"/>
              <w:bottom w:val="single" w:sz="4" w:space="0" w:color="auto"/>
            </w:tcBorders>
          </w:tcPr>
          <w:p w:rsidR="00D52458" w:rsidRPr="00D52458" w:rsidRDefault="00D52458" w:rsidP="00D52458">
            <w:pPr>
              <w:autoSpaceDE w:val="0"/>
              <w:autoSpaceDN w:val="0"/>
              <w:adjustRightInd w:val="0"/>
              <w:spacing w:before="120" w:after="120" w:line="240" w:lineRule="auto"/>
              <w:jc w:val="center"/>
              <w:rPr>
                <w:rFonts w:ascii="Times New Roman" w:hAnsi="Times New Roman" w:cs="Times New Roman"/>
                <w:color w:val="221E1F"/>
                <w:sz w:val="24"/>
                <w:szCs w:val="24"/>
              </w:rPr>
            </w:pPr>
            <w:proofErr w:type="spellStart"/>
            <w:r w:rsidRPr="00D52458">
              <w:rPr>
                <w:rFonts w:ascii="Times New Roman" w:hAnsi="Times New Roman" w:cs="Times New Roman"/>
                <w:color w:val="221E1F"/>
                <w:sz w:val="24"/>
                <w:szCs w:val="24"/>
              </w:rPr>
              <w:t>Hep</w:t>
            </w:r>
            <w:proofErr w:type="spellEnd"/>
            <w:r w:rsidRPr="00D52458">
              <w:rPr>
                <w:rFonts w:ascii="Times New Roman" w:hAnsi="Times New Roman" w:cs="Times New Roman"/>
                <w:color w:val="221E1F"/>
                <w:sz w:val="24"/>
                <w:szCs w:val="24"/>
              </w:rPr>
              <w:t xml:space="preserve"> B vaccine series</w:t>
            </w:r>
          </w:p>
        </w:tc>
        <w:tc>
          <w:tcPr>
            <w:tcW w:w="4950" w:type="dxa"/>
            <w:tcBorders>
              <w:top w:val="nil"/>
              <w:bottom w:val="single" w:sz="4" w:space="0" w:color="auto"/>
            </w:tcBorders>
          </w:tcPr>
          <w:p w:rsidR="00D52458" w:rsidRPr="00D52458" w:rsidRDefault="00D52458" w:rsidP="00D52458">
            <w:pPr>
              <w:autoSpaceDE w:val="0"/>
              <w:autoSpaceDN w:val="0"/>
              <w:adjustRightInd w:val="0"/>
              <w:spacing w:before="120" w:after="120" w:line="240" w:lineRule="auto"/>
              <w:ind w:left="345" w:hanging="360"/>
              <w:jc w:val="center"/>
              <w:rPr>
                <w:rFonts w:ascii="Times New Roman" w:hAnsi="Times New Roman" w:cs="Times New Roman"/>
                <w:color w:val="221E1F"/>
                <w:sz w:val="24"/>
                <w:szCs w:val="24"/>
              </w:rPr>
            </w:pPr>
            <w:r w:rsidRPr="00D52458">
              <w:rPr>
                <w:rFonts w:ascii="Times New Roman" w:hAnsi="Times New Roman" w:cs="Times New Roman"/>
                <w:color w:val="221E1F"/>
                <w:sz w:val="24"/>
                <w:szCs w:val="24"/>
              </w:rPr>
              <w:t>No management</w:t>
            </w:r>
          </w:p>
        </w:tc>
      </w:tr>
    </w:tbl>
    <w:p w:rsidR="00D52458" w:rsidRPr="00D52458" w:rsidRDefault="00D52458" w:rsidP="00D52458">
      <w:pPr>
        <w:autoSpaceDE w:val="0"/>
        <w:autoSpaceDN w:val="0"/>
        <w:adjustRightInd w:val="0"/>
        <w:spacing w:before="120" w:after="0" w:line="240" w:lineRule="auto"/>
        <w:jc w:val="both"/>
        <w:rPr>
          <w:rFonts w:ascii="Times New Roman" w:hAnsi="Times New Roman" w:cs="Times New Roman"/>
          <w:color w:val="221E1F"/>
        </w:rPr>
      </w:pPr>
      <w:r w:rsidRPr="00D52458">
        <w:rPr>
          <w:rFonts w:ascii="Times New Roman" w:hAnsi="Times New Roman" w:cs="Times New Roman"/>
          <w:b/>
          <w:bCs/>
          <w:color w:val="221E1F"/>
        </w:rPr>
        <w:t xml:space="preserve">Abbreviations: </w:t>
      </w:r>
      <w:proofErr w:type="spellStart"/>
      <w:r w:rsidRPr="00D52458">
        <w:rPr>
          <w:rFonts w:ascii="Times New Roman" w:hAnsi="Times New Roman" w:cs="Times New Roman"/>
          <w:color w:val="221E1F"/>
        </w:rPr>
        <w:t>HepB</w:t>
      </w:r>
      <w:proofErr w:type="spellEnd"/>
      <w:r w:rsidRPr="00D52458">
        <w:rPr>
          <w:rFonts w:ascii="Times New Roman" w:hAnsi="Times New Roman" w:cs="Times New Roman"/>
          <w:color w:val="221E1F"/>
        </w:rPr>
        <w:t xml:space="preserve"> = hepatitis B; </w:t>
      </w:r>
      <w:proofErr w:type="spellStart"/>
      <w:r w:rsidRPr="00D52458">
        <w:rPr>
          <w:rFonts w:ascii="Times New Roman" w:hAnsi="Times New Roman" w:cs="Times New Roman"/>
          <w:color w:val="221E1F"/>
        </w:rPr>
        <w:t>HBsAg</w:t>
      </w:r>
      <w:proofErr w:type="spellEnd"/>
      <w:r w:rsidRPr="00D52458">
        <w:rPr>
          <w:rFonts w:ascii="Times New Roman" w:hAnsi="Times New Roman" w:cs="Times New Roman"/>
          <w:color w:val="221E1F"/>
        </w:rPr>
        <w:t xml:space="preserve"> = hepatitis B surface antigen; HBIG = hepatitis B immune globulin. </w:t>
      </w:r>
    </w:p>
    <w:p w:rsidR="00D52458" w:rsidRPr="00D52458" w:rsidRDefault="00D52458" w:rsidP="00D52458">
      <w:pPr>
        <w:autoSpaceDE w:val="0"/>
        <w:autoSpaceDN w:val="0"/>
        <w:adjustRightInd w:val="0"/>
        <w:spacing w:before="120" w:after="0" w:line="240" w:lineRule="auto"/>
        <w:rPr>
          <w:rFonts w:ascii="Times New Roman" w:eastAsia="Times New Roman" w:hAnsi="Times New Roman" w:cs="Times New Roman"/>
          <w:color w:val="000000"/>
        </w:rPr>
      </w:pPr>
      <w:r w:rsidRPr="00D52458">
        <w:rPr>
          <w:rFonts w:ascii="Times New Roman" w:eastAsia="Times New Roman" w:hAnsi="Times New Roman" w:cs="Times New Roman"/>
          <w:color w:val="221E1F"/>
        </w:rPr>
        <w:t xml:space="preserve">* Exposures include percutaneous (e.g., bite or </w:t>
      </w:r>
      <w:proofErr w:type="spellStart"/>
      <w:r w:rsidRPr="00D52458">
        <w:rPr>
          <w:rFonts w:ascii="Times New Roman" w:eastAsia="Times New Roman" w:hAnsi="Times New Roman" w:cs="Times New Roman"/>
          <w:color w:val="221E1F"/>
        </w:rPr>
        <w:t>needlestick</w:t>
      </w:r>
      <w:proofErr w:type="spellEnd"/>
      <w:r w:rsidRPr="00D52458">
        <w:rPr>
          <w:rFonts w:ascii="Times New Roman" w:eastAsia="Times New Roman" w:hAnsi="Times New Roman" w:cs="Times New Roman"/>
          <w:color w:val="221E1F"/>
        </w:rPr>
        <w:t xml:space="preserve">) or mucosal exposure to blood or body fluids, sex or needle-sharing contact, or victim </w:t>
      </w:r>
      <w:r w:rsidRPr="00D52458">
        <w:rPr>
          <w:rFonts w:ascii="Times New Roman" w:eastAsia="Times New Roman" w:hAnsi="Times New Roman" w:cs="Times New Roman"/>
          <w:color w:val="221E1F"/>
        </w:rPr>
        <w:br/>
        <w:t xml:space="preserve">   of sexual assault/abuse</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color w:val="000000"/>
          <w:sz w:val="24"/>
          <w:szCs w:val="20"/>
        </w:rPr>
        <w:sectPr w:rsidR="00D52458" w:rsidRPr="00D52458" w:rsidSect="00444B69">
          <w:pgSz w:w="15840" w:h="12240" w:orient="landscape" w:code="1"/>
          <w:pgMar w:top="1440" w:right="1440" w:bottom="1440" w:left="1440" w:header="720" w:footer="576" w:gutter="0"/>
          <w:cols w:space="720"/>
          <w:docGrid w:linePitch="360"/>
        </w:sectPr>
      </w:pPr>
    </w:p>
    <w:p w:rsidR="00D52458" w:rsidRPr="00D52458" w:rsidRDefault="00D52458" w:rsidP="00D52458">
      <w:pPr>
        <w:keepNext/>
        <w:keepLines/>
        <w:autoSpaceDE w:val="0"/>
        <w:autoSpaceDN w:val="0"/>
        <w:adjustRightInd w:val="0"/>
        <w:spacing w:after="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color w:val="000000"/>
          <w:sz w:val="24"/>
          <w:szCs w:val="20"/>
        </w:rPr>
        <w:lastRenderedPageBreak/>
        <w:t>See Figure 3 for “</w:t>
      </w:r>
      <w:proofErr w:type="spellStart"/>
      <w:r w:rsidRPr="00D52458">
        <w:rPr>
          <w:rFonts w:ascii="Times New Roman" w:eastAsia="Times New Roman" w:hAnsi="Times New Roman" w:cs="Times New Roman"/>
          <w:color w:val="000000"/>
          <w:sz w:val="24"/>
          <w:szCs w:val="20"/>
        </w:rPr>
        <w:t>Preexposure</w:t>
      </w:r>
      <w:proofErr w:type="spellEnd"/>
      <w:r w:rsidRPr="00D52458">
        <w:rPr>
          <w:rFonts w:ascii="Times New Roman" w:eastAsia="Times New Roman" w:hAnsi="Times New Roman" w:cs="Times New Roman"/>
          <w:color w:val="000000"/>
          <w:sz w:val="24"/>
          <w:szCs w:val="20"/>
        </w:rPr>
        <w:t xml:space="preserve"> evaluation for health care personnel previously vaccinated with complete, ≥3-dose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who have not had </w:t>
      </w:r>
      <w:proofErr w:type="spellStart"/>
      <w:r w:rsidRPr="00D52458">
        <w:rPr>
          <w:rFonts w:ascii="Times New Roman" w:eastAsia="Times New Roman" w:hAnsi="Times New Roman" w:cs="Times New Roman"/>
          <w:color w:val="000000"/>
          <w:sz w:val="24"/>
          <w:szCs w:val="20"/>
        </w:rPr>
        <w:t>postvaccination</w:t>
      </w:r>
      <w:proofErr w:type="spellEnd"/>
      <w:r w:rsidRPr="00D52458">
        <w:rPr>
          <w:rFonts w:ascii="Times New Roman" w:eastAsia="Times New Roman" w:hAnsi="Times New Roman" w:cs="Times New Roman"/>
          <w:color w:val="000000"/>
          <w:sz w:val="24"/>
          <w:szCs w:val="20"/>
        </w:rPr>
        <w:t xml:space="preserve"> serologic testing” </w:t>
      </w:r>
      <w:hyperlink r:id="rId10" w:history="1">
        <w:r w:rsidRPr="00D52458">
          <w:rPr>
            <w:rFonts w:ascii="Times New Roman" w:eastAsia="Times New Roman" w:hAnsi="Times New Roman" w:cs="Times New Roman"/>
            <w:color w:val="0000FF"/>
            <w:sz w:val="24"/>
            <w:szCs w:val="20"/>
            <w:u w:val="single"/>
          </w:rPr>
          <w:t>https://www.cdc.gov/mmwr/volumes/67/rr/pdfs/rr6701-H.pdf</w:t>
        </w:r>
      </w:hyperlink>
      <w:r w:rsidRPr="00D52458">
        <w:rPr>
          <w:rFonts w:ascii="Times New Roman" w:eastAsia="Times New Roman" w:hAnsi="Times New Roman" w:cs="Times New Roman"/>
          <w:color w:val="000000"/>
          <w:sz w:val="24"/>
          <w:szCs w:val="20"/>
        </w:rPr>
        <w:t>.</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noProof/>
          <w:color w:val="000000"/>
          <w:sz w:val="24"/>
          <w:szCs w:val="20"/>
        </w:rPr>
        <mc:AlternateContent>
          <mc:Choice Requires="wps">
            <w:drawing>
              <wp:anchor distT="0" distB="0" distL="114300" distR="114300" simplePos="0" relativeHeight="251660288" behindDoc="0" locked="0" layoutInCell="1" allowOverlap="1" wp14:anchorId="7D8BFED5" wp14:editId="7EBC1A20">
                <wp:simplePos x="0" y="0"/>
                <wp:positionH relativeFrom="column">
                  <wp:posOffset>190774</wp:posOffset>
                </wp:positionH>
                <wp:positionV relativeFrom="paragraph">
                  <wp:posOffset>6181848</wp:posOffset>
                </wp:positionV>
                <wp:extent cx="4900921" cy="348656"/>
                <wp:effectExtent l="0" t="0" r="0" b="0"/>
                <wp:wrapNone/>
                <wp:docPr id="2" name="Rectangle 2"/>
                <wp:cNvGraphicFramePr/>
                <a:graphic xmlns:a="http://schemas.openxmlformats.org/drawingml/2006/main">
                  <a:graphicData uri="http://schemas.microsoft.com/office/word/2010/wordprocessingShape">
                    <wps:wsp>
                      <wps:cNvSpPr/>
                      <wps:spPr>
                        <a:xfrm>
                          <a:off x="0" y="0"/>
                          <a:ext cx="4900921" cy="348656"/>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70BD4" id="Rectangle 2" o:spid="_x0000_s1026" style="position:absolute;margin-left:15pt;margin-top:486.75pt;width:385.9pt;height:27.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" fillcolor="window" stroked="f" strokeweight="1pt"/>
            </w:pict>
          </mc:Fallback>
        </mc:AlternateContent>
      </w:r>
      <w:r w:rsidRPr="00D52458">
        <w:rPr>
          <w:rFonts w:ascii="Times New Roman" w:eastAsia="Times New Roman" w:hAnsi="Times New Roman" w:cs="Times New Roman"/>
          <w:b/>
          <w:noProof/>
          <w:color w:val="000000"/>
          <w:sz w:val="24"/>
          <w:szCs w:val="20"/>
        </w:rPr>
        <mc:AlternateContent>
          <mc:Choice Requires="wps">
            <w:drawing>
              <wp:anchor distT="0" distB="0" distL="114300" distR="114300" simplePos="0" relativeHeight="251659264" behindDoc="0" locked="0" layoutInCell="1" allowOverlap="1" wp14:anchorId="11433B6F" wp14:editId="5B4BC3E6">
                <wp:simplePos x="0" y="0"/>
                <wp:positionH relativeFrom="column">
                  <wp:posOffset>1874520</wp:posOffset>
                </wp:positionH>
                <wp:positionV relativeFrom="paragraph">
                  <wp:posOffset>234950</wp:posOffset>
                </wp:positionV>
                <wp:extent cx="1354455"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1354455" cy="228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45ACC6" id="Rectangle 1" o:spid="_x0000_s1026" style="position:absolute;margin-left:147.6pt;margin-top:18.5pt;width:106.6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" fillcolor="window" stroked="f" strokeweight="1pt"/>
            </w:pict>
          </mc:Fallback>
        </mc:AlternateContent>
      </w:r>
      <w:r w:rsidRPr="00D52458">
        <w:rPr>
          <w:rFonts w:ascii="Times New Roman" w:eastAsia="Times New Roman" w:hAnsi="Times New Roman" w:cs="Times New Roman"/>
          <w:b/>
          <w:color w:val="000000"/>
          <w:sz w:val="24"/>
          <w:szCs w:val="20"/>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05pt;height:524.75pt" o:ole="">
            <v:imagedata r:id="rId11" o:title=""/>
          </v:shape>
          <o:OLEObject Type="Embed" ProgID="Acrobat.Document.11" ShapeID="_x0000_i1025" DrawAspect="Content" ObjectID="_1591783160" r:id="rId12"/>
        </w:objec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
    <w:p w:rsidR="00D52458" w:rsidRPr="00D52458" w:rsidRDefault="00D52458" w:rsidP="00D52458">
      <w:pPr>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br w:type="page"/>
      </w: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lastRenderedPageBreak/>
        <w:t>Catch-Up Schedule</w:t>
      </w:r>
    </w:p>
    <w:p w:rsidR="00D52458" w:rsidRPr="00D52458" w:rsidRDefault="00D52458" w:rsidP="00D52458">
      <w:pPr>
        <w:numPr>
          <w:ilvl w:val="0"/>
          <w:numId w:val="12"/>
        </w:numPr>
        <w:spacing w:after="200" w:line="276" w:lineRule="auto"/>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Unvaccinated persons should complete a 3-dose series.</w:t>
      </w:r>
    </w:p>
    <w:p w:rsidR="00D52458" w:rsidRPr="00D52458" w:rsidRDefault="00D52458" w:rsidP="00D52458">
      <w:pPr>
        <w:numPr>
          <w:ilvl w:val="0"/>
          <w:numId w:val="12"/>
        </w:numPr>
        <w:spacing w:after="200" w:line="276" w:lineRule="auto"/>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A 2-dose series (doses separated by at least 4 months) of adult formulation </w:t>
      </w:r>
      <w:r w:rsidRPr="00D52458">
        <w:rPr>
          <w:rFonts w:ascii="Times New Roman" w:eastAsia="Times New Roman" w:hAnsi="Times New Roman" w:cs="Times New Roman"/>
          <w:b/>
          <w:color w:val="000000"/>
          <w:sz w:val="24"/>
          <w:szCs w:val="24"/>
        </w:rPr>
        <w:t>RECOMBIVAX HB</w:t>
      </w:r>
      <w:r>
        <w:rPr>
          <w:rFonts w:ascii="Times New Roman" w:eastAsia="Times New Roman" w:hAnsi="Times New Roman" w:cs="Times New Roman"/>
          <w:color w:val="000000"/>
          <w:sz w:val="24"/>
          <w:szCs w:val="24"/>
          <w:vertAlign w:val="superscript"/>
        </w:rPr>
        <w:t>®</w:t>
      </w:r>
      <w:r w:rsidRPr="00D52458">
        <w:rPr>
          <w:rFonts w:ascii="Times New Roman" w:eastAsia="Times New Roman" w:hAnsi="Times New Roman" w:cs="Times New Roman"/>
          <w:color w:val="000000"/>
          <w:sz w:val="24"/>
          <w:szCs w:val="24"/>
        </w:rPr>
        <w:t xml:space="preserve"> is licensed for use in adolescents aged 11 through 15 years.</w:t>
      </w:r>
    </w:p>
    <w:p w:rsidR="00D52458" w:rsidRPr="00D52458" w:rsidRDefault="00D52458" w:rsidP="00D52458">
      <w:pPr>
        <w:numPr>
          <w:ilvl w:val="0"/>
          <w:numId w:val="12"/>
        </w:numPr>
        <w:spacing w:after="200" w:line="276" w:lineRule="auto"/>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other catch-up guidance from ACIP, see “Catch-up immunization schedule for persons aged 4 months through 18 years who start late or who are more than 1 month behind —United States, 2018,” </w:t>
      </w:r>
      <w:hyperlink r:id="rId13" w:history="1">
        <w:r w:rsidRPr="00D52458">
          <w:rPr>
            <w:rFonts w:ascii="Times New Roman" w:eastAsia="Times New Roman" w:hAnsi="Times New Roman" w:cs="Times New Roman"/>
            <w:color w:val="0000FF"/>
            <w:sz w:val="24"/>
            <w:szCs w:val="24"/>
            <w:u w:val="single"/>
          </w:rPr>
          <w:t>http://www.cdc.gov/vaccines/schedules/downloads/child/0-18yrs-child-combined-schedule.pdf</w:t>
        </w:r>
      </w:hyperlink>
      <w:r w:rsidRPr="00D52458">
        <w:rPr>
          <w:rFonts w:ascii="Times New Roman" w:eastAsia="Times New Roman" w:hAnsi="Times New Roman" w:cs="Times New Roman"/>
          <w:color w:val="000000"/>
          <w:sz w:val="24"/>
          <w:szCs w:val="24"/>
        </w:rPr>
        <w:t xml:space="preserve"> .</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t>Booster Doses</w:t>
      </w:r>
    </w:p>
    <w:p w:rsidR="00D52458" w:rsidRPr="00D52458" w:rsidRDefault="00D52458" w:rsidP="00D5245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Booster doses </w:t>
      </w:r>
      <w:proofErr w:type="gramStart"/>
      <w:r w:rsidRPr="00D52458">
        <w:rPr>
          <w:rFonts w:ascii="Times New Roman" w:eastAsia="Times New Roman" w:hAnsi="Times New Roman" w:cs="Times New Roman"/>
          <w:color w:val="000000"/>
          <w:sz w:val="24"/>
          <w:szCs w:val="24"/>
        </w:rPr>
        <w:t>are not recommended</w:t>
      </w:r>
      <w:proofErr w:type="gramEnd"/>
      <w:r w:rsidRPr="00D52458">
        <w:rPr>
          <w:rFonts w:ascii="Times New Roman" w:eastAsia="Times New Roman" w:hAnsi="Times New Roman" w:cs="Times New Roman"/>
          <w:color w:val="000000"/>
          <w:sz w:val="24"/>
          <w:szCs w:val="24"/>
        </w:rPr>
        <w:t xml:space="preserve"> for persons with normal immune status who were vaccinated as infants, children, adolescents, or adults.  Serologic testing </w:t>
      </w:r>
      <w:proofErr w:type="gramStart"/>
      <w:r w:rsidRPr="00D52458">
        <w:rPr>
          <w:rFonts w:ascii="Times New Roman" w:eastAsia="Times New Roman" w:hAnsi="Times New Roman" w:cs="Times New Roman"/>
          <w:color w:val="000000"/>
          <w:sz w:val="24"/>
          <w:szCs w:val="24"/>
        </w:rPr>
        <w:t>is not recommended</w:t>
      </w:r>
      <w:proofErr w:type="gramEnd"/>
      <w:r w:rsidRPr="00D52458">
        <w:rPr>
          <w:rFonts w:ascii="Times New Roman" w:eastAsia="Times New Roman" w:hAnsi="Times New Roman" w:cs="Times New Roman"/>
          <w:color w:val="000000"/>
          <w:sz w:val="24"/>
          <w:szCs w:val="24"/>
        </w:rPr>
        <w:t xml:space="preserve"> to assess antibody concentrations in any age group, except in certain circumstances (see “</w:t>
      </w:r>
      <w:proofErr w:type="spellStart"/>
      <w:r w:rsidRPr="00D52458">
        <w:rPr>
          <w:rFonts w:ascii="Times New Roman" w:eastAsia="Times New Roman" w:hAnsi="Times New Roman" w:cs="Times New Roman"/>
          <w:color w:val="000000"/>
          <w:sz w:val="24"/>
          <w:szCs w:val="24"/>
        </w:rPr>
        <w:t>Postvaccination</w:t>
      </w:r>
      <w:proofErr w:type="spellEnd"/>
      <w:r w:rsidRPr="00D52458">
        <w:rPr>
          <w:rFonts w:ascii="Times New Roman" w:eastAsia="Times New Roman" w:hAnsi="Times New Roman" w:cs="Times New Roman"/>
          <w:color w:val="000000"/>
          <w:sz w:val="24"/>
          <w:szCs w:val="24"/>
        </w:rPr>
        <w:t xml:space="preserve"> Serologic Testing (PVST)” below). </w:t>
      </w:r>
    </w:p>
    <w:p w:rsidR="00D52458" w:rsidRPr="00D52458" w:rsidRDefault="00D52458" w:rsidP="00D5245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hemodialysis patients, the need for booster doses </w:t>
      </w:r>
      <w:proofErr w:type="gramStart"/>
      <w:r w:rsidRPr="00D52458">
        <w:rPr>
          <w:rFonts w:ascii="Times New Roman" w:eastAsia="Times New Roman" w:hAnsi="Times New Roman" w:cs="Times New Roman"/>
          <w:color w:val="000000"/>
          <w:sz w:val="24"/>
          <w:szCs w:val="24"/>
        </w:rPr>
        <w:t>should be assessed</w:t>
      </w:r>
      <w:proofErr w:type="gramEnd"/>
      <w:r w:rsidRPr="00D52458">
        <w:rPr>
          <w:rFonts w:ascii="Times New Roman" w:eastAsia="Times New Roman" w:hAnsi="Times New Roman" w:cs="Times New Roman"/>
          <w:color w:val="000000"/>
          <w:sz w:val="24"/>
          <w:szCs w:val="24"/>
        </w:rPr>
        <w:t xml:space="preserve"> by annual </w:t>
      </w:r>
      <w:r w:rsidRPr="00D52458">
        <w:rPr>
          <w:rFonts w:ascii="Times New Roman" w:eastAsia="Times New Roman" w:hAnsi="Times New Roman" w:cs="Times New Roman"/>
          <w:color w:val="000000"/>
          <w:sz w:val="24"/>
          <w:szCs w:val="24"/>
        </w:rPr>
        <w:br/>
        <w:t xml:space="preserve">anti-HBs testing.  A booster dose should be administered when anti-HBs levels decline to &lt;10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w:t>
      </w:r>
      <w:proofErr w:type="spellStart"/>
      <w:r w:rsidRPr="00D52458">
        <w:rPr>
          <w:rFonts w:ascii="Times New Roman" w:eastAsia="Times New Roman" w:hAnsi="Times New Roman" w:cs="Times New Roman"/>
          <w:color w:val="000000"/>
          <w:sz w:val="24"/>
          <w:szCs w:val="24"/>
        </w:rPr>
        <w:t>mL.</w:t>
      </w:r>
      <w:proofErr w:type="spellEnd"/>
      <w:r w:rsidRPr="00D52458">
        <w:rPr>
          <w:rFonts w:ascii="Times New Roman" w:eastAsia="Times New Roman" w:hAnsi="Times New Roman" w:cs="Times New Roman"/>
          <w:color w:val="000000"/>
          <w:sz w:val="24"/>
          <w:szCs w:val="24"/>
        </w:rPr>
        <w:t xml:space="preserve"> </w:t>
      </w:r>
    </w:p>
    <w:p w:rsidR="00D52458" w:rsidRPr="00D52458" w:rsidRDefault="00D52458" w:rsidP="00D52458">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other immunocompromised persons (e.g., HIV-infected persons, hematopoietic </w:t>
      </w:r>
      <w:r w:rsidRPr="00D52458">
        <w:rPr>
          <w:rFonts w:ascii="Times New Roman" w:eastAsia="Times New Roman" w:hAnsi="Times New Roman" w:cs="Times New Roman"/>
          <w:color w:val="000000"/>
          <w:sz w:val="24"/>
          <w:szCs w:val="24"/>
        </w:rPr>
        <w:br/>
        <w:t xml:space="preserve">stem cell transplant recipients and persons receiving chemotherapy), the need for booster doses has not been determined.  When anti-HBs levels decline to &lt;10 </w:t>
      </w:r>
      <w:proofErr w:type="spellStart"/>
      <w:r w:rsidRPr="00D52458">
        <w:rPr>
          <w:rFonts w:ascii="Times New Roman" w:eastAsia="Times New Roman" w:hAnsi="Times New Roman" w:cs="Times New Roman"/>
          <w:color w:val="000000"/>
          <w:sz w:val="24"/>
          <w:szCs w:val="24"/>
        </w:rPr>
        <w:t>mIU</w:t>
      </w:r>
      <w:proofErr w:type="spellEnd"/>
      <w:r w:rsidRPr="00D52458">
        <w:rPr>
          <w:rFonts w:ascii="Times New Roman" w:eastAsia="Times New Roman" w:hAnsi="Times New Roman" w:cs="Times New Roman"/>
          <w:color w:val="000000"/>
          <w:sz w:val="24"/>
          <w:szCs w:val="24"/>
        </w:rPr>
        <w:t xml:space="preserve">/mL, annual anti-HBs testing and booster doses should be considered for immunocompromised persons with an ongoing risk for exposure. </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roofErr w:type="spellStart"/>
      <w:r w:rsidRPr="00D52458">
        <w:rPr>
          <w:rFonts w:ascii="Times New Roman" w:eastAsia="Times New Roman" w:hAnsi="Times New Roman" w:cs="Times New Roman"/>
          <w:b/>
          <w:color w:val="000000"/>
          <w:sz w:val="24"/>
          <w:szCs w:val="20"/>
        </w:rPr>
        <w:t>Postvaccination</w:t>
      </w:r>
      <w:proofErr w:type="spellEnd"/>
      <w:r w:rsidRPr="00D52458">
        <w:rPr>
          <w:rFonts w:ascii="Times New Roman" w:eastAsia="Times New Roman" w:hAnsi="Times New Roman" w:cs="Times New Roman"/>
          <w:b/>
          <w:color w:val="000000"/>
          <w:sz w:val="24"/>
          <w:szCs w:val="20"/>
        </w:rPr>
        <w:t xml:space="preserve"> Serologic Testing </w:t>
      </w:r>
      <w:proofErr w:type="gramStart"/>
      <w:r w:rsidRPr="00D52458">
        <w:rPr>
          <w:rFonts w:ascii="Times New Roman" w:eastAsia="Times New Roman" w:hAnsi="Times New Roman" w:cs="Times New Roman"/>
          <w:b/>
          <w:color w:val="000000"/>
          <w:sz w:val="24"/>
          <w:szCs w:val="20"/>
        </w:rPr>
        <w:t>is NOT Routinely Recommended</w:t>
      </w:r>
      <w:proofErr w:type="gramEnd"/>
      <w:r w:rsidRPr="00D52458">
        <w:rPr>
          <w:rFonts w:ascii="Times New Roman" w:eastAsia="Times New Roman" w:hAnsi="Times New Roman" w:cs="Times New Roman"/>
          <w:b/>
          <w:color w:val="000000"/>
          <w:sz w:val="24"/>
          <w:szCs w:val="20"/>
        </w:rPr>
        <w:t xml:space="preserve"> for Most Persons</w:t>
      </w:r>
    </w:p>
    <w:p w:rsidR="00D52458" w:rsidRPr="00D52458" w:rsidRDefault="00D52458" w:rsidP="00D52458">
      <w:pPr>
        <w:numPr>
          <w:ilvl w:val="0"/>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 xml:space="preserve">Not routinely recommended following vaccination of infants, children, adolescents, or most adults.  </w:t>
      </w:r>
    </w:p>
    <w:p w:rsidR="00D52458" w:rsidRPr="00D52458" w:rsidRDefault="00D52458" w:rsidP="00D52458">
      <w:pPr>
        <w:numPr>
          <w:ilvl w:val="0"/>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 xml:space="preserve">Routine </w:t>
      </w:r>
      <w:proofErr w:type="spellStart"/>
      <w:r w:rsidRPr="00D52458">
        <w:rPr>
          <w:rFonts w:ascii="Times New Roman" w:eastAsia="Times New Roman" w:hAnsi="Times New Roman" w:cs="Times New Roman"/>
          <w:color w:val="000000"/>
          <w:sz w:val="24"/>
          <w:szCs w:val="20"/>
        </w:rPr>
        <w:t>postvaccination</w:t>
      </w:r>
      <w:proofErr w:type="spellEnd"/>
      <w:r w:rsidRPr="00D52458">
        <w:rPr>
          <w:rFonts w:ascii="Times New Roman" w:eastAsia="Times New Roman" w:hAnsi="Times New Roman" w:cs="Times New Roman"/>
          <w:color w:val="000000"/>
          <w:sz w:val="24"/>
          <w:szCs w:val="20"/>
        </w:rPr>
        <w:t xml:space="preserve"> testing </w:t>
      </w:r>
      <w:proofErr w:type="gramStart"/>
      <w:r w:rsidRPr="00D52458">
        <w:rPr>
          <w:rFonts w:ascii="Times New Roman" w:eastAsia="Times New Roman" w:hAnsi="Times New Roman" w:cs="Times New Roman"/>
          <w:color w:val="000000"/>
          <w:sz w:val="24"/>
          <w:szCs w:val="20"/>
        </w:rPr>
        <w:t>is not recommended</w:t>
      </w:r>
      <w:proofErr w:type="gramEnd"/>
      <w:r w:rsidRPr="00D52458">
        <w:rPr>
          <w:rFonts w:ascii="Times New Roman" w:eastAsia="Times New Roman" w:hAnsi="Times New Roman" w:cs="Times New Roman"/>
          <w:color w:val="000000"/>
          <w:sz w:val="24"/>
          <w:szCs w:val="20"/>
        </w:rPr>
        <w:t xml:space="preserve"> for persons at low risk of exposure, such as public safety workers and healthcare personnel without direct patient contact.</w:t>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
    <w:p w:rsidR="00D52458" w:rsidRPr="00D52458" w:rsidRDefault="00D52458" w:rsidP="00D52458">
      <w:pPr>
        <w:spacing w:after="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br w:type="page"/>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b/>
          <w:color w:val="000000"/>
          <w:sz w:val="24"/>
          <w:szCs w:val="20"/>
        </w:rPr>
      </w:pPr>
      <w:proofErr w:type="spellStart"/>
      <w:r w:rsidRPr="00D52458">
        <w:rPr>
          <w:rFonts w:ascii="Times New Roman" w:eastAsia="Times New Roman" w:hAnsi="Times New Roman" w:cs="Times New Roman"/>
          <w:b/>
          <w:color w:val="000000"/>
          <w:sz w:val="24"/>
          <w:szCs w:val="20"/>
        </w:rPr>
        <w:lastRenderedPageBreak/>
        <w:t>Postvaccination</w:t>
      </w:r>
      <w:proofErr w:type="spellEnd"/>
      <w:r w:rsidRPr="00D52458">
        <w:rPr>
          <w:rFonts w:ascii="Times New Roman" w:eastAsia="Times New Roman" w:hAnsi="Times New Roman" w:cs="Times New Roman"/>
          <w:b/>
          <w:color w:val="000000"/>
          <w:sz w:val="24"/>
          <w:szCs w:val="20"/>
        </w:rPr>
        <w:t xml:space="preserve"> Serologic Testing is Routinely Recommended for Selected Individuals:</w:t>
      </w:r>
    </w:p>
    <w:p w:rsidR="00D52458" w:rsidRPr="00D52458" w:rsidRDefault="00D52458" w:rsidP="00D52458">
      <w:pPr>
        <w:numPr>
          <w:ilvl w:val="0"/>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rPr>
        <w:t xml:space="preserve">When indicated, </w:t>
      </w:r>
      <w:proofErr w:type="spellStart"/>
      <w:r w:rsidRPr="00D52458">
        <w:rPr>
          <w:rFonts w:ascii="Times New Roman" w:eastAsia="Times New Roman" w:hAnsi="Times New Roman" w:cs="Times New Roman"/>
          <w:b/>
          <w:color w:val="000000"/>
          <w:sz w:val="24"/>
          <w:szCs w:val="20"/>
        </w:rPr>
        <w:t>postvaccination</w:t>
      </w:r>
      <w:proofErr w:type="spellEnd"/>
      <w:r w:rsidRPr="00D52458">
        <w:rPr>
          <w:rFonts w:ascii="Times New Roman" w:eastAsia="Times New Roman" w:hAnsi="Times New Roman" w:cs="Times New Roman"/>
          <w:b/>
          <w:color w:val="000000"/>
          <w:sz w:val="24"/>
          <w:szCs w:val="20"/>
        </w:rPr>
        <w:t xml:space="preserve"> serologic testing (i.e., quantitative anti-HBs) should be performed 1 to 2 months after completion of the </w:t>
      </w:r>
      <w:proofErr w:type="spellStart"/>
      <w:r w:rsidRPr="00D52458">
        <w:rPr>
          <w:rFonts w:ascii="Times New Roman" w:eastAsia="Times New Roman" w:hAnsi="Times New Roman" w:cs="Times New Roman"/>
          <w:b/>
          <w:color w:val="000000"/>
          <w:sz w:val="24"/>
          <w:szCs w:val="20"/>
        </w:rPr>
        <w:t>HepB</w:t>
      </w:r>
      <w:proofErr w:type="spellEnd"/>
      <w:r w:rsidRPr="00D52458">
        <w:rPr>
          <w:rFonts w:ascii="Times New Roman" w:eastAsia="Times New Roman" w:hAnsi="Times New Roman" w:cs="Times New Roman"/>
          <w:b/>
          <w:color w:val="000000"/>
          <w:sz w:val="24"/>
          <w:szCs w:val="20"/>
        </w:rPr>
        <w:t xml:space="preserve"> vaccine series)</w:t>
      </w:r>
    </w:p>
    <w:p w:rsidR="00D52458" w:rsidRPr="00D52458" w:rsidRDefault="00D52458" w:rsidP="00D52458">
      <w:pPr>
        <w:numPr>
          <w:ilvl w:val="0"/>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 xml:space="preserve">Persons determined to have anti-HBs concentrations of ≥10 </w:t>
      </w:r>
      <w:proofErr w:type="spellStart"/>
      <w:r w:rsidRPr="00D52458">
        <w:rPr>
          <w:rFonts w:ascii="Times New Roman" w:eastAsia="Times New Roman" w:hAnsi="Times New Roman" w:cs="Times New Roman"/>
          <w:color w:val="000000"/>
          <w:sz w:val="24"/>
          <w:szCs w:val="20"/>
        </w:rPr>
        <w:t>mIU</w:t>
      </w:r>
      <w:proofErr w:type="spellEnd"/>
      <w:r w:rsidRPr="00D52458">
        <w:rPr>
          <w:rFonts w:ascii="Times New Roman" w:eastAsia="Times New Roman" w:hAnsi="Times New Roman" w:cs="Times New Roman"/>
          <w:color w:val="000000"/>
          <w:sz w:val="24"/>
          <w:szCs w:val="20"/>
        </w:rPr>
        <w:t xml:space="preserve">/mL after receipt of the primary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w:t>
      </w:r>
      <w:proofErr w:type="gramStart"/>
      <w:r w:rsidRPr="00D52458">
        <w:rPr>
          <w:rFonts w:ascii="Times New Roman" w:eastAsia="Times New Roman" w:hAnsi="Times New Roman" w:cs="Times New Roman"/>
          <w:color w:val="000000"/>
          <w:sz w:val="24"/>
          <w:szCs w:val="20"/>
        </w:rPr>
        <w:t>are considered</w:t>
      </w:r>
      <w:proofErr w:type="gramEnd"/>
      <w:r w:rsidRPr="00D52458">
        <w:rPr>
          <w:rFonts w:ascii="Times New Roman" w:eastAsia="Times New Roman" w:hAnsi="Times New Roman" w:cs="Times New Roman"/>
          <w:color w:val="000000"/>
          <w:sz w:val="24"/>
          <w:szCs w:val="20"/>
        </w:rPr>
        <w:t xml:space="preserve"> immune, and the result should be documented.</w:t>
      </w:r>
    </w:p>
    <w:p w:rsidR="00D52458" w:rsidRPr="00D52458" w:rsidRDefault="00D52458" w:rsidP="00D52458">
      <w:pPr>
        <w:numPr>
          <w:ilvl w:val="0"/>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proofErr w:type="spellStart"/>
      <w:r w:rsidRPr="00D52458">
        <w:rPr>
          <w:rFonts w:ascii="Times New Roman" w:eastAsia="Times New Roman" w:hAnsi="Times New Roman" w:cs="Times New Roman"/>
          <w:color w:val="000000"/>
          <w:sz w:val="24"/>
          <w:szCs w:val="20"/>
        </w:rPr>
        <w:t>Postvaccination</w:t>
      </w:r>
      <w:proofErr w:type="spellEnd"/>
      <w:r w:rsidRPr="00D52458">
        <w:rPr>
          <w:rFonts w:ascii="Times New Roman" w:eastAsia="Times New Roman" w:hAnsi="Times New Roman" w:cs="Times New Roman"/>
          <w:color w:val="000000"/>
          <w:sz w:val="24"/>
          <w:szCs w:val="20"/>
        </w:rPr>
        <w:t xml:space="preserve"> serologic testing is routinely recommended for:  </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Healthcare personnel who have contact with patients or blood</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 xml:space="preserve"> Infants born to </w:t>
      </w:r>
      <w:proofErr w:type="spellStart"/>
      <w:r w:rsidRPr="00D52458">
        <w:rPr>
          <w:rFonts w:ascii="Times New Roman" w:eastAsia="Times New Roman" w:hAnsi="Times New Roman" w:cs="Times New Roman"/>
          <w:color w:val="000000"/>
          <w:sz w:val="24"/>
          <w:szCs w:val="20"/>
        </w:rPr>
        <w:t>HBsAg</w:t>
      </w:r>
      <w:proofErr w:type="spellEnd"/>
      <w:r w:rsidRPr="00D52458">
        <w:rPr>
          <w:rFonts w:ascii="Times New Roman" w:eastAsia="Times New Roman" w:hAnsi="Times New Roman" w:cs="Times New Roman"/>
          <w:color w:val="000000"/>
          <w:sz w:val="24"/>
          <w:szCs w:val="20"/>
        </w:rPr>
        <w:t>-positive women *See Immunizations/Perinatal Hepatitis B Prevention Program and Case Management Protocol in the CCSG.</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 xml:space="preserve">Sex partners of </w:t>
      </w:r>
      <w:proofErr w:type="spellStart"/>
      <w:r w:rsidRPr="00D52458">
        <w:rPr>
          <w:rFonts w:ascii="Times New Roman" w:eastAsia="Times New Roman" w:hAnsi="Times New Roman" w:cs="Times New Roman"/>
          <w:color w:val="000000"/>
          <w:sz w:val="24"/>
          <w:szCs w:val="20"/>
        </w:rPr>
        <w:t>HBsAg</w:t>
      </w:r>
      <w:proofErr w:type="spellEnd"/>
      <w:r w:rsidRPr="00D52458">
        <w:rPr>
          <w:rFonts w:ascii="Times New Roman" w:eastAsia="Times New Roman" w:hAnsi="Times New Roman" w:cs="Times New Roman"/>
          <w:color w:val="000000"/>
          <w:sz w:val="24"/>
          <w:szCs w:val="20"/>
        </w:rPr>
        <w:t>-positive persons</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Persons with HIV infection</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Chronic hemodialysis patients</w:t>
      </w:r>
    </w:p>
    <w:p w:rsidR="00D52458" w:rsidRPr="00D52458" w:rsidRDefault="00D52458" w:rsidP="00D52458">
      <w:pPr>
        <w:numPr>
          <w:ilvl w:val="1"/>
          <w:numId w:val="9"/>
        </w:numPr>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color w:val="000000"/>
          <w:sz w:val="24"/>
          <w:szCs w:val="20"/>
        </w:rPr>
        <w:t>Other immunocompromised persons (e.g., hematopoietic stem-cell transplant recipients or persons receiving chemotherapy)</w:t>
      </w:r>
    </w:p>
    <w:p w:rsidR="00D52458" w:rsidRPr="00D52458" w:rsidRDefault="00D52458" w:rsidP="00D52458">
      <w:pPr>
        <w:autoSpaceDE w:val="0"/>
        <w:autoSpaceDN w:val="0"/>
        <w:adjustRightInd w:val="0"/>
        <w:spacing w:after="120" w:line="240" w:lineRule="auto"/>
        <w:ind w:left="1440"/>
        <w:rPr>
          <w:rFonts w:ascii="Times New Roman" w:eastAsia="Times New Roman" w:hAnsi="Times New Roman" w:cs="Times New Roman"/>
          <w:b/>
          <w:color w:val="000000"/>
          <w:sz w:val="24"/>
          <w:szCs w:val="20"/>
          <w:u w:val="single"/>
        </w:rPr>
      </w:pP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t>Management of Nonresponse to Hepatitis B Vaccine</w:t>
      </w:r>
    </w:p>
    <w:p w:rsidR="00D52458" w:rsidRPr="00D52458" w:rsidRDefault="00D52458" w:rsidP="00D52458">
      <w:pPr>
        <w:keepNext/>
        <w:keepLines/>
        <w:numPr>
          <w:ilvl w:val="0"/>
          <w:numId w:val="10"/>
        </w:numPr>
        <w:autoSpaceDE w:val="0"/>
        <w:autoSpaceDN w:val="0"/>
        <w:adjustRightInd w:val="0"/>
        <w:spacing w:after="120" w:line="240" w:lineRule="auto"/>
        <w:ind w:left="720"/>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 </w:t>
      </w:r>
      <w:proofErr w:type="spellStart"/>
      <w:r w:rsidRPr="00D52458">
        <w:rPr>
          <w:rFonts w:ascii="Times New Roman" w:eastAsia="Times New Roman" w:hAnsi="Times New Roman" w:cs="Times New Roman"/>
          <w:color w:val="000000"/>
          <w:sz w:val="24"/>
          <w:szCs w:val="20"/>
        </w:rPr>
        <w:t>seroprotective</w:t>
      </w:r>
      <w:proofErr w:type="spellEnd"/>
      <w:r w:rsidRPr="00D52458">
        <w:rPr>
          <w:rFonts w:ascii="Times New Roman" w:eastAsia="Times New Roman" w:hAnsi="Times New Roman" w:cs="Times New Roman"/>
          <w:color w:val="000000"/>
          <w:sz w:val="24"/>
          <w:szCs w:val="20"/>
        </w:rPr>
        <w:t xml:space="preserve"> (adequate) level of anti-HBs after completion of a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vaccination series </w:t>
      </w:r>
      <w:proofErr w:type="gramStart"/>
      <w:r w:rsidRPr="00D52458">
        <w:rPr>
          <w:rFonts w:ascii="Times New Roman" w:eastAsia="Times New Roman" w:hAnsi="Times New Roman" w:cs="Times New Roman"/>
          <w:color w:val="000000"/>
          <w:sz w:val="24"/>
          <w:szCs w:val="20"/>
        </w:rPr>
        <w:t>is defined</w:t>
      </w:r>
      <w:proofErr w:type="gramEnd"/>
      <w:r w:rsidRPr="00D52458">
        <w:rPr>
          <w:rFonts w:ascii="Times New Roman" w:eastAsia="Times New Roman" w:hAnsi="Times New Roman" w:cs="Times New Roman"/>
          <w:color w:val="000000"/>
          <w:sz w:val="24"/>
          <w:szCs w:val="20"/>
        </w:rPr>
        <w:t xml:space="preserve"> as anti-HBs ≥10 </w:t>
      </w:r>
      <w:proofErr w:type="spellStart"/>
      <w:r w:rsidRPr="00D52458">
        <w:rPr>
          <w:rFonts w:ascii="Times New Roman" w:eastAsia="Times New Roman" w:hAnsi="Times New Roman" w:cs="Times New Roman"/>
          <w:color w:val="000000"/>
          <w:sz w:val="24"/>
          <w:szCs w:val="20"/>
        </w:rPr>
        <w:t>mIU</w:t>
      </w:r>
      <w:proofErr w:type="spellEnd"/>
      <w:r w:rsidRPr="00D52458">
        <w:rPr>
          <w:rFonts w:ascii="Times New Roman" w:eastAsia="Times New Roman" w:hAnsi="Times New Roman" w:cs="Times New Roman"/>
          <w:color w:val="000000"/>
          <w:sz w:val="24"/>
          <w:szCs w:val="20"/>
        </w:rPr>
        <w:t xml:space="preserve">/mL; a response &lt; 10 </w:t>
      </w:r>
      <w:proofErr w:type="spellStart"/>
      <w:r w:rsidRPr="00D52458">
        <w:rPr>
          <w:rFonts w:ascii="Times New Roman" w:eastAsia="Times New Roman" w:hAnsi="Times New Roman" w:cs="Times New Roman"/>
          <w:color w:val="000000"/>
          <w:sz w:val="24"/>
          <w:szCs w:val="20"/>
        </w:rPr>
        <w:t>mIU</w:t>
      </w:r>
      <w:proofErr w:type="spellEnd"/>
      <w:r w:rsidRPr="00D52458">
        <w:rPr>
          <w:rFonts w:ascii="Times New Roman" w:eastAsia="Times New Roman" w:hAnsi="Times New Roman" w:cs="Times New Roman"/>
          <w:color w:val="000000"/>
          <w:sz w:val="24"/>
          <w:szCs w:val="20"/>
        </w:rPr>
        <w:t>/mL is inadequate and is not a reliable indicator of protection.</w:t>
      </w:r>
    </w:p>
    <w:p w:rsidR="00D52458" w:rsidRPr="00D52458" w:rsidRDefault="00D52458" w:rsidP="00D52458">
      <w:pPr>
        <w:keepNext/>
        <w:keepLines/>
        <w:numPr>
          <w:ilvl w:val="0"/>
          <w:numId w:val="10"/>
        </w:numPr>
        <w:autoSpaceDE w:val="0"/>
        <w:autoSpaceDN w:val="0"/>
        <w:adjustRightInd w:val="0"/>
        <w:spacing w:after="120" w:line="240" w:lineRule="auto"/>
        <w:ind w:left="720"/>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Persons for whom </w:t>
      </w:r>
      <w:proofErr w:type="spellStart"/>
      <w:r w:rsidRPr="00D52458">
        <w:rPr>
          <w:rFonts w:ascii="Times New Roman" w:eastAsia="Times New Roman" w:hAnsi="Times New Roman" w:cs="Times New Roman"/>
          <w:color w:val="000000"/>
          <w:sz w:val="24"/>
          <w:szCs w:val="20"/>
        </w:rPr>
        <w:t>postvaccination</w:t>
      </w:r>
      <w:proofErr w:type="spellEnd"/>
      <w:r w:rsidRPr="00D52458">
        <w:rPr>
          <w:rFonts w:ascii="Times New Roman" w:eastAsia="Times New Roman" w:hAnsi="Times New Roman" w:cs="Times New Roman"/>
          <w:color w:val="000000"/>
          <w:sz w:val="24"/>
          <w:szCs w:val="20"/>
        </w:rPr>
        <w:t xml:space="preserve"> serologic testing </w:t>
      </w:r>
      <w:proofErr w:type="gramStart"/>
      <w:r w:rsidRPr="00D52458">
        <w:rPr>
          <w:rFonts w:ascii="Times New Roman" w:eastAsia="Times New Roman" w:hAnsi="Times New Roman" w:cs="Times New Roman"/>
          <w:color w:val="000000"/>
          <w:sz w:val="24"/>
          <w:szCs w:val="20"/>
        </w:rPr>
        <w:t>is recommended</w:t>
      </w:r>
      <w:proofErr w:type="gramEnd"/>
      <w:r w:rsidRPr="00D52458">
        <w:rPr>
          <w:rFonts w:ascii="Times New Roman" w:eastAsia="Times New Roman" w:hAnsi="Times New Roman" w:cs="Times New Roman"/>
          <w:color w:val="000000"/>
          <w:sz w:val="24"/>
          <w:szCs w:val="20"/>
        </w:rPr>
        <w:t xml:space="preserve"> but did not adequately respond to the first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should complete a second three-dose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The second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w:t>
      </w:r>
      <w:proofErr w:type="gramStart"/>
      <w:r w:rsidRPr="00D52458">
        <w:rPr>
          <w:rFonts w:ascii="Times New Roman" w:eastAsia="Times New Roman" w:hAnsi="Times New Roman" w:cs="Times New Roman"/>
          <w:color w:val="000000"/>
          <w:sz w:val="24"/>
          <w:szCs w:val="20"/>
        </w:rPr>
        <w:t>should be given</w:t>
      </w:r>
      <w:proofErr w:type="gramEnd"/>
      <w:r w:rsidRPr="00D52458">
        <w:rPr>
          <w:rFonts w:ascii="Times New Roman" w:eastAsia="Times New Roman" w:hAnsi="Times New Roman" w:cs="Times New Roman"/>
          <w:color w:val="000000"/>
          <w:sz w:val="24"/>
          <w:szCs w:val="20"/>
        </w:rPr>
        <w:t xml:space="preserve"> on the usual schedule of 0, 1, and 6 months.  </w:t>
      </w:r>
    </w:p>
    <w:p w:rsidR="00D52458" w:rsidRPr="00D52458" w:rsidRDefault="00D52458" w:rsidP="00D52458">
      <w:pPr>
        <w:keepNext/>
        <w:keepLines/>
        <w:numPr>
          <w:ilvl w:val="0"/>
          <w:numId w:val="10"/>
        </w:numPr>
        <w:autoSpaceDE w:val="0"/>
        <w:autoSpaceDN w:val="0"/>
        <w:adjustRightInd w:val="0"/>
        <w:spacing w:after="120" w:line="240" w:lineRule="auto"/>
        <w:ind w:left="720"/>
        <w:rPr>
          <w:rFonts w:ascii="Times New Roman" w:eastAsia="Times New Roman" w:hAnsi="Times New Roman" w:cs="Times New Roman"/>
          <w:b/>
          <w:color w:val="000000"/>
          <w:sz w:val="24"/>
          <w:szCs w:val="20"/>
        </w:rPr>
      </w:pPr>
      <w:r w:rsidRPr="00D52458">
        <w:rPr>
          <w:rFonts w:ascii="Times New Roman" w:eastAsia="Times New Roman" w:hAnsi="Times New Roman" w:cs="Times New Roman"/>
          <w:color w:val="000000"/>
          <w:sz w:val="24"/>
          <w:szCs w:val="20"/>
        </w:rPr>
        <w:t xml:space="preserve">Retest (i.e., quantitative anti-HBs) 1 to 2 months after completing the second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vaccine series</w:t>
      </w:r>
    </w:p>
    <w:p w:rsidR="00D52458" w:rsidRPr="00D52458" w:rsidRDefault="00D52458" w:rsidP="00D52458">
      <w:pPr>
        <w:keepNext/>
        <w:keepLines/>
        <w:numPr>
          <w:ilvl w:val="0"/>
          <w:numId w:val="10"/>
        </w:numPr>
        <w:autoSpaceDE w:val="0"/>
        <w:autoSpaceDN w:val="0"/>
        <w:adjustRightInd w:val="0"/>
        <w:spacing w:after="120" w:line="240" w:lineRule="auto"/>
        <w:ind w:left="720"/>
        <w:rPr>
          <w:rFonts w:ascii="Times New Roman" w:eastAsia="Times New Roman" w:hAnsi="Times New Roman" w:cs="Times New Roman"/>
          <w:b/>
          <w:color w:val="000000"/>
          <w:sz w:val="24"/>
          <w:szCs w:val="20"/>
        </w:rPr>
      </w:pPr>
      <w:r w:rsidRPr="00D52458">
        <w:rPr>
          <w:rFonts w:ascii="Times New Roman" w:eastAsia="Times New Roman" w:hAnsi="Times New Roman" w:cs="Times New Roman"/>
          <w:color w:val="000000"/>
          <w:sz w:val="24"/>
          <w:szCs w:val="20"/>
        </w:rPr>
        <w:t xml:space="preserve">An alternative, though less practical option, is to conduct serologic testing after each additional dose of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or after one or more doses of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w:t>
      </w:r>
    </w:p>
    <w:p w:rsidR="00D52458" w:rsidRPr="00D52458" w:rsidRDefault="00D52458" w:rsidP="00D52458">
      <w:pPr>
        <w:keepNext/>
        <w:keepLines/>
        <w:numPr>
          <w:ilvl w:val="0"/>
          <w:numId w:val="10"/>
        </w:numPr>
        <w:autoSpaceDE w:val="0"/>
        <w:autoSpaceDN w:val="0"/>
        <w:adjustRightInd w:val="0"/>
        <w:spacing w:after="120" w:line="240" w:lineRule="auto"/>
        <w:ind w:left="720"/>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Persons who do not have a protective concentration of anti-HBs (≥10 </w:t>
      </w:r>
      <w:proofErr w:type="spellStart"/>
      <w:r w:rsidRPr="00D52458">
        <w:rPr>
          <w:rFonts w:ascii="Times New Roman" w:eastAsia="Times New Roman" w:hAnsi="Times New Roman" w:cs="Times New Roman"/>
          <w:color w:val="000000"/>
          <w:sz w:val="24"/>
          <w:szCs w:val="20"/>
        </w:rPr>
        <w:t>mIU</w:t>
      </w:r>
      <w:proofErr w:type="spellEnd"/>
      <w:r w:rsidRPr="00D52458">
        <w:rPr>
          <w:rFonts w:ascii="Times New Roman" w:eastAsia="Times New Roman" w:hAnsi="Times New Roman" w:cs="Times New Roman"/>
          <w:color w:val="000000"/>
          <w:sz w:val="24"/>
          <w:szCs w:val="20"/>
        </w:rPr>
        <w:t xml:space="preserve">/mL) after revaccination (i.e., after receiving </w:t>
      </w:r>
      <w:proofErr w:type="gramStart"/>
      <w:r w:rsidRPr="00D52458">
        <w:rPr>
          <w:rFonts w:ascii="Times New Roman" w:eastAsia="Times New Roman" w:hAnsi="Times New Roman" w:cs="Times New Roman"/>
          <w:color w:val="000000"/>
          <w:sz w:val="24"/>
          <w:szCs w:val="20"/>
        </w:rPr>
        <w:t>a total of 6</w:t>
      </w:r>
      <w:proofErr w:type="gramEnd"/>
      <w:r w:rsidRPr="00D52458">
        <w:rPr>
          <w:rFonts w:ascii="Times New Roman" w:eastAsia="Times New Roman" w:hAnsi="Times New Roman" w:cs="Times New Roman"/>
          <w:color w:val="000000"/>
          <w:sz w:val="24"/>
          <w:szCs w:val="20"/>
        </w:rPr>
        <w:t xml:space="preserv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doses) should be tested for </w:t>
      </w:r>
      <w:proofErr w:type="spellStart"/>
      <w:r w:rsidRPr="00D52458">
        <w:rPr>
          <w:rFonts w:ascii="Times New Roman" w:eastAsia="Times New Roman" w:hAnsi="Times New Roman" w:cs="Times New Roman"/>
          <w:color w:val="000000"/>
          <w:sz w:val="24"/>
          <w:szCs w:val="20"/>
        </w:rPr>
        <w:t>HBsAg</w:t>
      </w:r>
      <w:proofErr w:type="spellEnd"/>
      <w:r w:rsidRPr="00D52458">
        <w:rPr>
          <w:rFonts w:ascii="Times New Roman" w:eastAsia="Times New Roman" w:hAnsi="Times New Roman" w:cs="Times New Roman"/>
          <w:color w:val="000000"/>
          <w:sz w:val="24"/>
          <w:szCs w:val="20"/>
        </w:rPr>
        <w:t xml:space="preserve"> and anti-</w:t>
      </w:r>
      <w:proofErr w:type="spellStart"/>
      <w:r w:rsidRPr="00D52458">
        <w:rPr>
          <w:rFonts w:ascii="Times New Roman" w:eastAsia="Times New Roman" w:hAnsi="Times New Roman" w:cs="Times New Roman"/>
          <w:color w:val="000000"/>
          <w:sz w:val="24"/>
          <w:szCs w:val="20"/>
        </w:rPr>
        <w:t>HBc</w:t>
      </w:r>
      <w:proofErr w:type="spellEnd"/>
      <w:r w:rsidRPr="00D52458">
        <w:rPr>
          <w:rFonts w:ascii="Times New Roman" w:eastAsia="Times New Roman" w:hAnsi="Times New Roman" w:cs="Times New Roman"/>
          <w:color w:val="000000"/>
          <w:sz w:val="24"/>
          <w:szCs w:val="20"/>
        </w:rPr>
        <w:t xml:space="preserve"> to determine their hepatitis B virus infection status.</w:t>
      </w: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p>
    <w:p w:rsidR="00D52458" w:rsidRPr="00D52458" w:rsidRDefault="00D52458" w:rsidP="00D52458">
      <w:pPr>
        <w:spacing w:after="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br w:type="page"/>
      </w: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lastRenderedPageBreak/>
        <w:t>Dosage and Route</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0"/>
        </w:rPr>
        <w:t>Pediatric Vaccination Schedule (infants and children younger than 11 years of age)</w:t>
      </w:r>
      <w:r w:rsidRPr="00D52458">
        <w:rPr>
          <w:rFonts w:ascii="Times New Roman" w:eastAsia="Times New Roman" w:hAnsi="Times New Roman" w:cs="Times New Roman"/>
          <w:color w:val="000000"/>
          <w:sz w:val="24"/>
          <w:szCs w:val="20"/>
        </w:rPr>
        <w:t xml:space="preserve">: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three 0.5 mL doses – intramuscular (IM).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Administer 0.5 mL (5 mcg) of pediatric or adult formulation </w:t>
      </w:r>
      <w:r w:rsidRPr="00D52458">
        <w:rPr>
          <w:rFonts w:ascii="Times New Roman" w:eastAsia="Times New Roman" w:hAnsi="Times New Roman" w:cs="Times New Roman"/>
          <w:color w:val="000000"/>
          <w:sz w:val="24"/>
          <w:szCs w:val="20"/>
        </w:rPr>
        <w:br/>
      </w:r>
      <w:r w:rsidRPr="00D52458">
        <w:rPr>
          <w:rFonts w:ascii="Times New Roman" w:eastAsia="Times New Roman" w:hAnsi="Times New Roman" w:cs="Times New Roman"/>
          <w:b/>
          <w:bCs/>
          <w:color w:val="000000"/>
          <w:sz w:val="24"/>
          <w:szCs w:val="20"/>
        </w:rPr>
        <w:t>RECOMBIVAX HB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(Merck) or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Administer 0.5 mL (10 mcg) of pediatric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rPr>
        <w:t xml:space="preserve"> </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(GlaxoSmithKline)</w:t>
      </w:r>
    </w:p>
    <w:p w:rsidR="00D52458" w:rsidRPr="00D52458" w:rsidRDefault="00D52458" w:rsidP="00D52458">
      <w:pPr>
        <w:autoSpaceDE w:val="0"/>
        <w:autoSpaceDN w:val="0"/>
        <w:adjustRightInd w:val="0"/>
        <w:spacing w:after="0" w:line="240" w:lineRule="auto"/>
        <w:ind w:left="720"/>
        <w:rPr>
          <w:rFonts w:ascii="Times New Roman" w:eastAsia="Times New Roman" w:hAnsi="Times New Roman" w:cs="Times New Roman"/>
          <w:color w:val="000000"/>
          <w:sz w:val="24"/>
          <w:szCs w:val="20"/>
        </w:rPr>
      </w:pP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0"/>
        </w:rPr>
        <w:t>Adolescent Schedule (11 through 19 years of age)</w:t>
      </w:r>
      <w:r w:rsidRPr="00D52458">
        <w:rPr>
          <w:rFonts w:ascii="Times New Roman" w:eastAsia="Times New Roman" w:hAnsi="Times New Roman" w:cs="Times New Roman"/>
          <w:color w:val="000000"/>
          <w:sz w:val="24"/>
          <w:szCs w:val="20"/>
        </w:rPr>
        <w:t xml:space="preserve">: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three doses – intramuscular (IM).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For adolescents aged 11 through 19 years, administer 0.5 mL (5 mcg) of the pediatric or adult formulation of </w:t>
      </w:r>
      <w:r w:rsidRPr="00D52458">
        <w:rPr>
          <w:rFonts w:ascii="Times New Roman" w:eastAsia="Times New Roman" w:hAnsi="Times New Roman" w:cs="Times New Roman"/>
          <w:b/>
          <w:bCs/>
          <w:color w:val="000000"/>
          <w:sz w:val="24"/>
          <w:szCs w:val="20"/>
        </w:rPr>
        <w:t>RECOMBIVAX HB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(Merck) or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Administer 0.5 mL (10 mcg) of the pediatric formulation of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(GlaxoSmithKline).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The adult formulation of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w:t>
      </w:r>
      <w:r>
        <w:rPr>
          <w:rFonts w:ascii="Times New Roman" w:eastAsia="Times New Roman" w:hAnsi="Times New Roman" w:cs="Times New Roman"/>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w:t>
      </w:r>
      <w:proofErr w:type="gramStart"/>
      <w:r w:rsidRPr="00D52458">
        <w:rPr>
          <w:rFonts w:ascii="Times New Roman" w:eastAsia="Times New Roman" w:hAnsi="Times New Roman" w:cs="Times New Roman"/>
          <w:color w:val="000000"/>
          <w:sz w:val="24"/>
          <w:szCs w:val="20"/>
        </w:rPr>
        <w:t>may be used</w:t>
      </w:r>
      <w:proofErr w:type="gramEnd"/>
      <w:r w:rsidRPr="00D52458">
        <w:rPr>
          <w:rFonts w:ascii="Times New Roman" w:eastAsia="Times New Roman" w:hAnsi="Times New Roman" w:cs="Times New Roman"/>
          <w:color w:val="000000"/>
          <w:sz w:val="24"/>
          <w:szCs w:val="20"/>
        </w:rPr>
        <w:t xml:space="preserve"> in adolescents, but the approved dose is 1 mL (20 mcg).</w:t>
      </w:r>
    </w:p>
    <w:p w:rsidR="00D52458" w:rsidRPr="00D52458" w:rsidRDefault="00D52458" w:rsidP="00D52458">
      <w:pPr>
        <w:autoSpaceDE w:val="0"/>
        <w:autoSpaceDN w:val="0"/>
        <w:adjustRightInd w:val="0"/>
        <w:spacing w:after="0" w:line="240" w:lineRule="auto"/>
        <w:ind w:left="1440"/>
        <w:rPr>
          <w:rFonts w:ascii="Times New Roman" w:eastAsia="Times New Roman" w:hAnsi="Times New Roman" w:cs="Times New Roman"/>
          <w:color w:val="000000"/>
          <w:sz w:val="24"/>
          <w:szCs w:val="20"/>
        </w:rPr>
      </w:pP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0"/>
        </w:rPr>
        <w:t>Alternative Adolescent Vaccination Schedule (11 through 15 years of age only)</w:t>
      </w:r>
      <w:r w:rsidRPr="00D52458">
        <w:rPr>
          <w:rFonts w:ascii="Times New Roman" w:eastAsia="Times New Roman" w:hAnsi="Times New Roman" w:cs="Times New Roman"/>
          <w:color w:val="000000"/>
          <w:sz w:val="24"/>
          <w:szCs w:val="20"/>
        </w:rPr>
        <w:t>: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two 1 mL (10 mcg) doses – intramuscular (IM).  Administer 1 mL (10 mcg) only using the pediatric or adult formulation of </w:t>
      </w:r>
      <w:r w:rsidRPr="00D52458">
        <w:rPr>
          <w:rFonts w:ascii="Times New Roman" w:eastAsia="Times New Roman" w:hAnsi="Times New Roman" w:cs="Times New Roman"/>
          <w:b/>
          <w:bCs/>
          <w:color w:val="000000"/>
          <w:sz w:val="24"/>
          <w:szCs w:val="20"/>
        </w:rPr>
        <w:t>RECOMBIVAX HB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when using this schedule.</w:t>
      </w:r>
    </w:p>
    <w:p w:rsidR="00D52458" w:rsidRPr="00D52458" w:rsidRDefault="00D52458" w:rsidP="00D52458">
      <w:pPr>
        <w:spacing w:after="0" w:line="240" w:lineRule="auto"/>
        <w:ind w:left="720" w:hanging="720"/>
        <w:rPr>
          <w:rFonts w:ascii="Times New Roman" w:eastAsia="Times New Roman" w:hAnsi="Times New Roman" w:cs="Times New Roman"/>
          <w:color w:val="000000"/>
          <w:sz w:val="24"/>
          <w:szCs w:val="20"/>
        </w:rPr>
      </w:pPr>
    </w:p>
    <w:p w:rsidR="00D52458" w:rsidRPr="00D52458" w:rsidRDefault="00D52458" w:rsidP="00D52458">
      <w:pPr>
        <w:keepNext/>
        <w:keepLines/>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0"/>
        </w:rPr>
        <w:t>Adult Schedule (20 years of age and older)</w:t>
      </w:r>
      <w:r w:rsidRPr="00D52458">
        <w:rPr>
          <w:rFonts w:ascii="Times New Roman" w:eastAsia="Times New Roman" w:hAnsi="Times New Roman" w:cs="Times New Roman"/>
          <w:color w:val="000000"/>
          <w:sz w:val="24"/>
          <w:szCs w:val="20"/>
        </w:rPr>
        <w:t xml:space="preserve">: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three 1 mL doses – intramuscular (IM).  </w:t>
      </w:r>
    </w:p>
    <w:p w:rsidR="00D52458" w:rsidRPr="00D52458" w:rsidRDefault="00D52458" w:rsidP="00D52458">
      <w:pPr>
        <w:keepNext/>
        <w:keepLines/>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For adults aged 20 years and older, administer 1 mL (10 mcg) of pediatric or adult formulation </w:t>
      </w:r>
      <w:r w:rsidRPr="00D52458">
        <w:rPr>
          <w:rFonts w:ascii="Times New Roman" w:eastAsia="Times New Roman" w:hAnsi="Times New Roman" w:cs="Times New Roman"/>
          <w:b/>
          <w:bCs/>
          <w:color w:val="000000"/>
          <w:sz w:val="24"/>
          <w:szCs w:val="20"/>
        </w:rPr>
        <w:t>RECOMBIVAX HB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(Merck) or </w:t>
      </w:r>
    </w:p>
    <w:p w:rsidR="00D52458" w:rsidRPr="00D52458" w:rsidRDefault="00D52458" w:rsidP="00D52458">
      <w:pPr>
        <w:keepNext/>
        <w:keepLines/>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Administer 1 mL (20 mcg) of adult formulation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(GlaxoSmithKline).  The pediatric formulation of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w:t>
      </w:r>
      <w:proofErr w:type="gramStart"/>
      <w:r w:rsidRPr="00D52458">
        <w:rPr>
          <w:rFonts w:ascii="Times New Roman" w:eastAsia="Times New Roman" w:hAnsi="Times New Roman" w:cs="Times New Roman"/>
          <w:color w:val="000000"/>
          <w:sz w:val="24"/>
          <w:szCs w:val="20"/>
        </w:rPr>
        <w:t>is not approved</w:t>
      </w:r>
      <w:proofErr w:type="gramEnd"/>
      <w:r w:rsidRPr="00D52458">
        <w:rPr>
          <w:rFonts w:ascii="Times New Roman" w:eastAsia="Times New Roman" w:hAnsi="Times New Roman" w:cs="Times New Roman"/>
          <w:color w:val="000000"/>
          <w:sz w:val="24"/>
          <w:szCs w:val="20"/>
        </w:rPr>
        <w:t xml:space="preserve"> for use in adults.</w:t>
      </w:r>
    </w:p>
    <w:p w:rsidR="00D52458" w:rsidRPr="00D52458" w:rsidRDefault="00D52458" w:rsidP="00D52458">
      <w:pPr>
        <w:keepNext/>
        <w:keepLines/>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Alternative adult schedules for single antigen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are </w:t>
      </w:r>
      <w:r w:rsidRPr="00D52458">
        <w:rPr>
          <w:rFonts w:ascii="Times New Roman" w:eastAsia="Times New Roman" w:hAnsi="Times New Roman" w:cs="Times New Roman"/>
          <w:color w:val="000000"/>
          <w:sz w:val="24"/>
          <w:szCs w:val="20"/>
        </w:rPr>
        <w:br/>
        <w:t xml:space="preserve">0, 1, and 6 months, 0, 1, and 4 months, and 0, 2, and 4 months for </w:t>
      </w:r>
      <w:r w:rsidRPr="00D52458">
        <w:rPr>
          <w:rFonts w:ascii="Times New Roman" w:eastAsia="Times New Roman" w:hAnsi="Times New Roman" w:cs="Times New Roman"/>
          <w:color w:val="000000"/>
          <w:sz w:val="24"/>
          <w:szCs w:val="20"/>
        </w:rPr>
        <w:br/>
        <w:t xml:space="preserve">both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brands.  An adult schedule of </w:t>
      </w:r>
      <w:proofErr w:type="gramStart"/>
      <w:r w:rsidRPr="00D52458">
        <w:rPr>
          <w:rFonts w:ascii="Times New Roman" w:eastAsia="Times New Roman" w:hAnsi="Times New Roman" w:cs="Times New Roman"/>
          <w:color w:val="000000"/>
          <w:sz w:val="24"/>
          <w:szCs w:val="20"/>
        </w:rPr>
        <w:t>0</w:t>
      </w:r>
      <w:proofErr w:type="gramEnd"/>
      <w:r w:rsidRPr="00D52458">
        <w:rPr>
          <w:rFonts w:ascii="Times New Roman" w:eastAsia="Times New Roman" w:hAnsi="Times New Roman" w:cs="Times New Roman"/>
          <w:color w:val="000000"/>
          <w:sz w:val="24"/>
          <w:szCs w:val="20"/>
        </w:rPr>
        <w:t xml:space="preserve">, 1, 2, and 12 months is FDA approved for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See 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package insert.</w:t>
      </w:r>
    </w:p>
    <w:p w:rsidR="00D52458" w:rsidRPr="00D52458" w:rsidRDefault="00D52458" w:rsidP="00D52458">
      <w:pPr>
        <w:keepNext/>
        <w:keepLines/>
        <w:autoSpaceDE w:val="0"/>
        <w:autoSpaceDN w:val="0"/>
        <w:adjustRightInd w:val="0"/>
        <w:spacing w:after="0" w:line="240" w:lineRule="auto"/>
        <w:ind w:left="1440"/>
        <w:rPr>
          <w:rFonts w:ascii="Times New Roman" w:eastAsia="Times New Roman" w:hAnsi="Times New Roman" w:cs="Times New Roman"/>
          <w:color w:val="000000"/>
          <w:sz w:val="24"/>
          <w:szCs w:val="20"/>
        </w:rPr>
      </w:pPr>
    </w:p>
    <w:p w:rsidR="00D52458" w:rsidRPr="00D52458" w:rsidRDefault="00D52458" w:rsidP="00D52458">
      <w:pPr>
        <w:spacing w:after="0" w:line="240" w:lineRule="auto"/>
        <w:ind w:left="720"/>
        <w:contextualSpacing/>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rPr>
        <w:br w:type="page"/>
      </w:r>
    </w:p>
    <w:p w:rsidR="00D52458" w:rsidRPr="00D52458" w:rsidRDefault="00D52458" w:rsidP="00D52458">
      <w:pPr>
        <w:numPr>
          <w:ilvl w:val="0"/>
          <w:numId w:val="4"/>
        </w:numPr>
        <w:autoSpaceDE w:val="0"/>
        <w:autoSpaceDN w:val="0"/>
        <w:adjustRightInd w:val="0"/>
        <w:spacing w:after="12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0"/>
        </w:rPr>
        <w:lastRenderedPageBreak/>
        <w:t xml:space="preserve">Adult patients receiving hemodialysis, </w:t>
      </w:r>
      <w:proofErr w:type="spellStart"/>
      <w:r w:rsidRPr="00D52458">
        <w:rPr>
          <w:rFonts w:ascii="Times New Roman" w:eastAsia="Times New Roman" w:hAnsi="Times New Roman" w:cs="Times New Roman"/>
          <w:b/>
          <w:color w:val="000000"/>
          <w:sz w:val="24"/>
          <w:szCs w:val="20"/>
        </w:rPr>
        <w:t>predialysis</w:t>
      </w:r>
      <w:proofErr w:type="spellEnd"/>
      <w:r w:rsidRPr="00D52458">
        <w:rPr>
          <w:rFonts w:ascii="Times New Roman" w:eastAsia="Times New Roman" w:hAnsi="Times New Roman" w:cs="Times New Roman"/>
          <w:b/>
          <w:color w:val="000000"/>
          <w:sz w:val="24"/>
          <w:szCs w:val="20"/>
        </w:rPr>
        <w:t xml:space="preserve"> patients, or with other immunocompromising conditions: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three 1 mL doses – intramuscular (IM) of the </w:t>
      </w:r>
      <w:r w:rsidRPr="00D52458">
        <w:rPr>
          <w:rFonts w:ascii="Times New Roman" w:eastAsia="Times New Roman" w:hAnsi="Times New Roman" w:cs="Times New Roman"/>
          <w:b/>
          <w:bCs/>
          <w:color w:val="000000"/>
          <w:sz w:val="24"/>
          <w:szCs w:val="20"/>
        </w:rPr>
        <w:t>RECOMBIVAX HB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Dialysis Formulation (40 mcg/mL) administered on a </w:t>
      </w:r>
      <w:r w:rsidRPr="00D52458">
        <w:rPr>
          <w:rFonts w:ascii="Times New Roman" w:eastAsia="Times New Roman" w:hAnsi="Times New Roman" w:cs="Times New Roman"/>
          <w:color w:val="000000"/>
          <w:sz w:val="24"/>
          <w:szCs w:val="20"/>
        </w:rPr>
        <w:br/>
        <w:t xml:space="preserve">3-dose schedule at 0, 1, and 6 months, or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The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has four 2 mL (40 mcg/2 mL) doses of adult formulation </w:t>
      </w:r>
      <w:r w:rsidRPr="00D52458">
        <w:rPr>
          <w:rFonts w:ascii="Times New Roman" w:eastAsia="Times New Roman" w:hAnsi="Times New Roman" w:cs="Times New Roman"/>
          <w:b/>
          <w:bCs/>
          <w:color w:val="000000"/>
          <w:sz w:val="24"/>
          <w:szCs w:val="20"/>
        </w:rPr>
        <w:t>ENGERIX</w:t>
      </w:r>
      <w:r w:rsidRPr="00D52458">
        <w:rPr>
          <w:rFonts w:ascii="Times New Roman" w:eastAsia="Times New Roman" w:hAnsi="Times New Roman" w:cs="Times New Roman"/>
          <w:b/>
          <w:color w:val="000000"/>
          <w:sz w:val="24"/>
          <w:szCs w:val="20"/>
        </w:rPr>
        <w:t>-B</w:t>
      </w:r>
      <w:r w:rsidRPr="00D52458">
        <w:rPr>
          <w:rFonts w:ascii="Times New Roman" w:eastAsia="Times New Roman" w:hAnsi="Times New Roman" w:cs="Times New Roman"/>
          <w:color w:val="000000"/>
          <w:sz w:val="24"/>
          <w:szCs w:val="20"/>
          <w:vertAlign w:val="superscript"/>
        </w:rPr>
        <w:t>®</w:t>
      </w:r>
      <w:r w:rsidRPr="00D52458">
        <w:rPr>
          <w:rFonts w:ascii="Times New Roman" w:eastAsia="Times New Roman" w:hAnsi="Times New Roman" w:cs="Times New Roman"/>
          <w:color w:val="000000"/>
          <w:sz w:val="24"/>
          <w:szCs w:val="20"/>
        </w:rPr>
        <w:t xml:space="preserve">– intramuscular (IM) administered on a 0, 1, 2, and </w:t>
      </w:r>
      <w:proofErr w:type="gramStart"/>
      <w:r w:rsidRPr="00D52458">
        <w:rPr>
          <w:rFonts w:ascii="Times New Roman" w:eastAsia="Times New Roman" w:hAnsi="Times New Roman" w:cs="Times New Roman"/>
          <w:color w:val="000000"/>
          <w:sz w:val="24"/>
          <w:szCs w:val="20"/>
        </w:rPr>
        <w:t>6 month</w:t>
      </w:r>
      <w:proofErr w:type="gramEnd"/>
      <w:r w:rsidRPr="00D52458">
        <w:rPr>
          <w:rFonts w:ascii="Times New Roman" w:eastAsia="Times New Roman" w:hAnsi="Times New Roman" w:cs="Times New Roman"/>
          <w:color w:val="000000"/>
          <w:sz w:val="24"/>
          <w:szCs w:val="20"/>
        </w:rPr>
        <w:t xml:space="preserve"> schedule.  Each dose in the series </w:t>
      </w:r>
      <w:proofErr w:type="gramStart"/>
      <w:r w:rsidRPr="00D52458">
        <w:rPr>
          <w:rFonts w:ascii="Times New Roman" w:eastAsia="Times New Roman" w:hAnsi="Times New Roman" w:cs="Times New Roman"/>
          <w:color w:val="000000"/>
          <w:sz w:val="24"/>
          <w:szCs w:val="20"/>
        </w:rPr>
        <w:t>can be given</w:t>
      </w:r>
      <w:proofErr w:type="gramEnd"/>
      <w:r w:rsidRPr="00D52458">
        <w:rPr>
          <w:rFonts w:ascii="Times New Roman" w:eastAsia="Times New Roman" w:hAnsi="Times New Roman" w:cs="Times New Roman"/>
          <w:color w:val="000000"/>
          <w:sz w:val="24"/>
          <w:szCs w:val="20"/>
        </w:rPr>
        <w:t xml:space="preserve"> as a single 2 mL dose or as </w:t>
      </w:r>
      <w:r w:rsidRPr="00D52458">
        <w:rPr>
          <w:rFonts w:ascii="Times New Roman" w:eastAsia="Times New Roman" w:hAnsi="Times New Roman" w:cs="Times New Roman"/>
          <w:color w:val="000000"/>
          <w:sz w:val="24"/>
          <w:szCs w:val="20"/>
        </w:rPr>
        <w:br/>
        <w:t>two 1-mL doses in one visit.</w:t>
      </w:r>
    </w:p>
    <w:p w:rsidR="00D52458" w:rsidRPr="00D52458" w:rsidRDefault="00D52458" w:rsidP="00D52458">
      <w:pPr>
        <w:keepNext/>
        <w:keepLines/>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b/>
          <w:color w:val="000000"/>
          <w:sz w:val="24"/>
          <w:szCs w:val="24"/>
        </w:rPr>
        <w:t>RECOMBIVAX HB</w:t>
      </w:r>
      <w:r w:rsidRPr="00D52458">
        <w:rPr>
          <w:rFonts w:ascii="Times New Roman" w:eastAsia="Times New Roman" w:hAnsi="Times New Roman" w:cs="Times New Roman"/>
          <w:color w:val="000000"/>
          <w:sz w:val="24"/>
          <w:szCs w:val="24"/>
          <w:vertAlign w:val="superscript"/>
        </w:rPr>
        <w:t>®</w:t>
      </w:r>
      <w:r w:rsidRPr="00D52458">
        <w:rPr>
          <w:rFonts w:ascii="Times New Roman" w:eastAsia="Times New Roman" w:hAnsi="Times New Roman" w:cs="Times New Roman"/>
          <w:color w:val="000000"/>
          <w:sz w:val="24"/>
          <w:szCs w:val="24"/>
        </w:rPr>
        <w:t xml:space="preserve"> Dialysis Formulation (40 µg/mL) is not provided by the Kentucky Vaccine Program (KVP) but may be ordered with Local Health Department funds.  </w:t>
      </w:r>
      <w:bookmarkStart w:id="0" w:name="_GoBack"/>
      <w:r w:rsidRPr="00D52458">
        <w:rPr>
          <w:rFonts w:ascii="Times New Roman" w:eastAsia="Times New Roman" w:hAnsi="Times New Roman" w:cs="Times New Roman"/>
          <w:b/>
          <w:color w:val="000000"/>
          <w:sz w:val="24"/>
          <w:szCs w:val="24"/>
        </w:rPr>
        <w:t>RECOMBIVAX HB</w:t>
      </w:r>
      <w:bookmarkEnd w:id="0"/>
      <w:r w:rsidRPr="00D52458">
        <w:rPr>
          <w:rFonts w:ascii="Times New Roman" w:eastAsia="Times New Roman" w:hAnsi="Times New Roman" w:cs="Times New Roman"/>
          <w:color w:val="000000"/>
          <w:sz w:val="24"/>
          <w:szCs w:val="24"/>
          <w:vertAlign w:val="superscript"/>
        </w:rPr>
        <w:t xml:space="preserve">® </w:t>
      </w:r>
      <w:r w:rsidRPr="00D52458">
        <w:rPr>
          <w:rFonts w:ascii="Times New Roman" w:eastAsia="Times New Roman" w:hAnsi="Times New Roman" w:cs="Times New Roman"/>
          <w:color w:val="000000"/>
          <w:sz w:val="24"/>
          <w:szCs w:val="24"/>
        </w:rPr>
        <w:t xml:space="preserve">Dialysis Formulation may be available at private provider offices and specialty clinics.  </w:t>
      </w:r>
    </w:p>
    <w:p w:rsidR="00D52458" w:rsidRPr="00D52458" w:rsidRDefault="00D52458" w:rsidP="00D52458">
      <w:pPr>
        <w:numPr>
          <w:ilvl w:val="1"/>
          <w:numId w:val="4"/>
        </w:num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Serologic testing of hemodialysis patients and other immunocompromised persons is recommended </w:t>
      </w:r>
      <w:proofErr w:type="gramStart"/>
      <w:r w:rsidRPr="00D52458">
        <w:rPr>
          <w:rFonts w:ascii="Times New Roman" w:eastAsia="Times New Roman" w:hAnsi="Times New Roman" w:cs="Times New Roman"/>
          <w:color w:val="000000"/>
          <w:sz w:val="24"/>
          <w:szCs w:val="20"/>
        </w:rPr>
        <w:t>1</w:t>
      </w:r>
      <w:proofErr w:type="gramEnd"/>
      <w:r w:rsidRPr="00D52458">
        <w:rPr>
          <w:rFonts w:ascii="Times New Roman" w:eastAsia="Times New Roman" w:hAnsi="Times New Roman" w:cs="Times New Roman"/>
          <w:color w:val="000000"/>
          <w:sz w:val="24"/>
          <w:szCs w:val="20"/>
        </w:rPr>
        <w:t xml:space="preserve">--2 months after administration of the final dose of the primary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 series to determine the need for revaccination (see </w:t>
      </w:r>
      <w:proofErr w:type="spellStart"/>
      <w:r w:rsidRPr="00D52458">
        <w:rPr>
          <w:rFonts w:ascii="Times New Roman" w:eastAsia="Times New Roman" w:hAnsi="Times New Roman" w:cs="Times New Roman"/>
          <w:color w:val="000000"/>
          <w:sz w:val="24"/>
          <w:szCs w:val="20"/>
        </w:rPr>
        <w:t>Postvaccination</w:t>
      </w:r>
      <w:proofErr w:type="spellEnd"/>
      <w:r w:rsidRPr="00D52458">
        <w:rPr>
          <w:rFonts w:ascii="Times New Roman" w:eastAsia="Times New Roman" w:hAnsi="Times New Roman" w:cs="Times New Roman"/>
          <w:color w:val="000000"/>
          <w:sz w:val="24"/>
          <w:szCs w:val="20"/>
        </w:rPr>
        <w:t xml:space="preserve"> Testing for Serologic Response).  In addition, booster doses of vaccine </w:t>
      </w:r>
      <w:proofErr w:type="gramStart"/>
      <w:r w:rsidRPr="00D52458">
        <w:rPr>
          <w:rFonts w:ascii="Times New Roman" w:eastAsia="Times New Roman" w:hAnsi="Times New Roman" w:cs="Times New Roman"/>
          <w:color w:val="000000"/>
          <w:sz w:val="24"/>
          <w:szCs w:val="20"/>
        </w:rPr>
        <w:t>might be needed</w:t>
      </w:r>
      <w:proofErr w:type="gramEnd"/>
      <w:r w:rsidRPr="00D52458">
        <w:rPr>
          <w:rFonts w:ascii="Times New Roman" w:eastAsia="Times New Roman" w:hAnsi="Times New Roman" w:cs="Times New Roman"/>
          <w:color w:val="000000"/>
          <w:sz w:val="24"/>
          <w:szCs w:val="20"/>
        </w:rPr>
        <w:t xml:space="preserve">.  For hemodialysis patients, the need for booster doses </w:t>
      </w:r>
      <w:proofErr w:type="gramStart"/>
      <w:r w:rsidRPr="00D52458">
        <w:rPr>
          <w:rFonts w:ascii="Times New Roman" w:eastAsia="Times New Roman" w:hAnsi="Times New Roman" w:cs="Times New Roman"/>
          <w:color w:val="000000"/>
          <w:sz w:val="24"/>
          <w:szCs w:val="20"/>
        </w:rPr>
        <w:t>should be assessed</w:t>
      </w:r>
      <w:proofErr w:type="gramEnd"/>
      <w:r w:rsidRPr="00D52458">
        <w:rPr>
          <w:rFonts w:ascii="Times New Roman" w:eastAsia="Times New Roman" w:hAnsi="Times New Roman" w:cs="Times New Roman"/>
          <w:color w:val="000000"/>
          <w:sz w:val="24"/>
          <w:szCs w:val="20"/>
        </w:rPr>
        <w:t xml:space="preserve"> by annual anti-HBs testing.  A booster dose should be administered when anti-HBs levels decline to &lt;10 </w:t>
      </w:r>
      <w:proofErr w:type="spellStart"/>
      <w:r w:rsidRPr="00D52458">
        <w:rPr>
          <w:rFonts w:ascii="Times New Roman" w:eastAsia="Times New Roman" w:hAnsi="Times New Roman" w:cs="Times New Roman"/>
          <w:color w:val="000000"/>
          <w:sz w:val="24"/>
          <w:szCs w:val="20"/>
        </w:rPr>
        <w:t>mIU</w:t>
      </w:r>
      <w:proofErr w:type="spellEnd"/>
      <w:r w:rsidRPr="00D52458">
        <w:rPr>
          <w:rFonts w:ascii="Times New Roman" w:eastAsia="Times New Roman" w:hAnsi="Times New Roman" w:cs="Times New Roman"/>
          <w:color w:val="000000"/>
          <w:sz w:val="24"/>
          <w:szCs w:val="20"/>
        </w:rPr>
        <w:t>/</w:t>
      </w:r>
      <w:proofErr w:type="spellStart"/>
      <w:r w:rsidRPr="00D52458">
        <w:rPr>
          <w:rFonts w:ascii="Times New Roman" w:eastAsia="Times New Roman" w:hAnsi="Times New Roman" w:cs="Times New Roman"/>
          <w:color w:val="000000"/>
          <w:sz w:val="24"/>
          <w:szCs w:val="20"/>
        </w:rPr>
        <w:t>mL.</w:t>
      </w:r>
      <w:proofErr w:type="spellEnd"/>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color w:val="000000"/>
          <w:sz w:val="24"/>
          <w:szCs w:val="20"/>
          <w:u w:val="single"/>
        </w:rPr>
      </w:pPr>
      <w:r w:rsidRPr="00D52458">
        <w:rPr>
          <w:rFonts w:ascii="Times New Roman" w:eastAsia="Times New Roman" w:hAnsi="Times New Roman" w:cs="Times New Roman"/>
          <w:b/>
          <w:color w:val="000000"/>
          <w:sz w:val="24"/>
          <w:szCs w:val="20"/>
          <w:u w:val="single"/>
        </w:rPr>
        <w:t xml:space="preserve">Anatomical Site </w:t>
      </w:r>
      <w:r w:rsidRPr="00D52458">
        <w:rPr>
          <w:rFonts w:ascii="Times New Roman" w:eastAsia="Times New Roman" w:hAnsi="Times New Roman" w:cs="Times New Roman"/>
          <w:color w:val="000000"/>
          <w:sz w:val="24"/>
          <w:szCs w:val="20"/>
        </w:rPr>
        <w:t>(ACIP and the AAFP recommendations for intramuscular injections)</w:t>
      </w:r>
    </w:p>
    <w:p w:rsidR="00D52458" w:rsidRPr="00D52458" w:rsidRDefault="00D52458" w:rsidP="00D52458">
      <w:pPr>
        <w:keepNext/>
        <w:keepLines/>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In children and adolescents (persons 12 months through 19 years of age), the deltoid muscle can be used if the muscle mass is adequate.  The needle size can range from 22 to 25 gauge and from 7/8 to 1¼ inches, based on the size of the muscle.  For infants and toddlers, the anterolateral thigh </w:t>
      </w:r>
      <w:proofErr w:type="gramStart"/>
      <w:r w:rsidRPr="00D52458">
        <w:rPr>
          <w:rFonts w:ascii="Times New Roman" w:eastAsia="Times New Roman" w:hAnsi="Times New Roman" w:cs="Times New Roman"/>
          <w:color w:val="000000"/>
          <w:sz w:val="24"/>
          <w:szCs w:val="24"/>
        </w:rPr>
        <w:t>can be used</w:t>
      </w:r>
      <w:proofErr w:type="gramEnd"/>
      <w:r w:rsidRPr="00D52458">
        <w:rPr>
          <w:rFonts w:ascii="Times New Roman" w:eastAsia="Times New Roman" w:hAnsi="Times New Roman" w:cs="Times New Roman"/>
          <w:color w:val="000000"/>
          <w:sz w:val="24"/>
          <w:szCs w:val="24"/>
        </w:rPr>
        <w:t xml:space="preserve">, but the needle should be longer, usually 1 inch. </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For adults (persons 20 years of age and older) the deltoid muscle is recommended for routine intramuscular vaccinations.  The anterolateral thigh </w:t>
      </w:r>
      <w:proofErr w:type="gramStart"/>
      <w:r w:rsidRPr="00D52458">
        <w:rPr>
          <w:rFonts w:ascii="Times New Roman" w:eastAsia="Times New Roman" w:hAnsi="Times New Roman" w:cs="Times New Roman"/>
          <w:color w:val="000000"/>
          <w:sz w:val="24"/>
          <w:szCs w:val="24"/>
        </w:rPr>
        <w:t>can be used</w:t>
      </w:r>
      <w:proofErr w:type="gramEnd"/>
      <w:r w:rsidRPr="00D52458">
        <w:rPr>
          <w:rFonts w:ascii="Times New Roman" w:eastAsia="Times New Roman" w:hAnsi="Times New Roman" w:cs="Times New Roman"/>
          <w:color w:val="000000"/>
          <w:sz w:val="24"/>
          <w:szCs w:val="24"/>
        </w:rPr>
        <w:t xml:space="preserve">.  The suggested needle size is 1-1½ inches and 22-25 gauge. </w:t>
      </w:r>
    </w:p>
    <w:p w:rsidR="00D52458" w:rsidRPr="00D52458" w:rsidRDefault="00D52458" w:rsidP="00D52458">
      <w:pPr>
        <w:spacing w:after="0" w:line="240" w:lineRule="auto"/>
        <w:rPr>
          <w:rFonts w:ascii="Times New Roman" w:eastAsia="Times New Roman" w:hAnsi="Times New Roman" w:cs="Times New Roman"/>
          <w:b/>
          <w:color w:val="000000"/>
          <w:sz w:val="24"/>
          <w:szCs w:val="24"/>
          <w:u w:val="single"/>
        </w:rPr>
      </w:pPr>
    </w:p>
    <w:p w:rsidR="00D52458" w:rsidRPr="00D52458" w:rsidRDefault="00D52458" w:rsidP="00D52458">
      <w:pPr>
        <w:keepNext/>
        <w:keepLines/>
        <w:autoSpaceDE w:val="0"/>
        <w:autoSpaceDN w:val="0"/>
        <w:adjustRightInd w:val="0"/>
        <w:spacing w:after="12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b/>
          <w:color w:val="000000"/>
          <w:sz w:val="24"/>
          <w:szCs w:val="24"/>
          <w:u w:val="single"/>
        </w:rPr>
        <w:t>Precautions</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See precautions in package insert. </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Latex allergy – See WARNINGS and/or PRECAUTIONS in the package insert for information about any latex components in the vial stopper and or prefilled syringes for the particular brand of hepatitis B vaccine </w:t>
      </w:r>
      <w:proofErr w:type="gramStart"/>
      <w:r w:rsidRPr="00D52458">
        <w:rPr>
          <w:rFonts w:ascii="Times New Roman" w:eastAsia="Times New Roman" w:hAnsi="Times New Roman" w:cs="Times New Roman"/>
          <w:color w:val="000000"/>
          <w:sz w:val="24"/>
          <w:szCs w:val="24"/>
        </w:rPr>
        <w:t>being used</w:t>
      </w:r>
      <w:proofErr w:type="gramEnd"/>
      <w:r w:rsidRPr="00D52458">
        <w:rPr>
          <w:rFonts w:ascii="Times New Roman" w:eastAsia="Times New Roman" w:hAnsi="Times New Roman" w:cs="Times New Roman"/>
          <w:color w:val="000000"/>
          <w:sz w:val="24"/>
          <w:szCs w:val="24"/>
        </w:rPr>
        <w:t>.</w:t>
      </w:r>
    </w:p>
    <w:p w:rsidR="00D52458" w:rsidRPr="00D52458" w:rsidRDefault="00D52458" w:rsidP="00D52458">
      <w:pPr>
        <w:widowControl w:val="0"/>
        <w:numPr>
          <w:ilvl w:val="0"/>
          <w:numId w:val="4"/>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As with other intramuscular injections, use with caution in patients on anticoagulant therapy.</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4"/>
        </w:rPr>
      </w:pPr>
    </w:p>
    <w:p w:rsidR="00D52458" w:rsidRPr="00D52458" w:rsidRDefault="00D52458" w:rsidP="00D52458">
      <w:pPr>
        <w:spacing w:after="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b/>
          <w:color w:val="000000"/>
          <w:sz w:val="24"/>
          <w:szCs w:val="24"/>
          <w:u w:val="single"/>
        </w:rPr>
        <w:br w:type="page"/>
      </w:r>
    </w:p>
    <w:p w:rsidR="00D52458" w:rsidRPr="00D52458" w:rsidRDefault="00D52458" w:rsidP="00D52458">
      <w:pPr>
        <w:autoSpaceDE w:val="0"/>
        <w:autoSpaceDN w:val="0"/>
        <w:adjustRightInd w:val="0"/>
        <w:spacing w:after="12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b/>
          <w:color w:val="000000"/>
          <w:sz w:val="24"/>
          <w:szCs w:val="24"/>
          <w:u w:val="single"/>
        </w:rPr>
        <w:lastRenderedPageBreak/>
        <w:t>Contraindications</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Allergy to vaccine components </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Anaphylactic reaction to the vaccine or a constituent of the vaccine</w:t>
      </w:r>
    </w:p>
    <w:p w:rsidR="00D52458" w:rsidRPr="00D52458" w:rsidRDefault="00D52458" w:rsidP="00D52458">
      <w:pPr>
        <w:numPr>
          <w:ilvl w:val="0"/>
          <w:numId w:val="4"/>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Acute, moderate or severe illness with or without fever</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b/>
          <w:color w:val="000000"/>
          <w:sz w:val="24"/>
          <w:szCs w:val="24"/>
          <w:u w:val="single"/>
        </w:rPr>
        <w:t xml:space="preserve">Adverse Events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4"/>
        </w:rPr>
      </w:pPr>
    </w:p>
    <w:p w:rsidR="00D52458" w:rsidRPr="00D52458" w:rsidRDefault="00D52458" w:rsidP="00D52458">
      <w:pPr>
        <w:numPr>
          <w:ilvl w:val="0"/>
          <w:numId w:val="7"/>
        </w:numPr>
        <w:autoSpaceDE w:val="0"/>
        <w:autoSpaceDN w:val="0"/>
        <w:adjustRightInd w:val="0"/>
        <w:spacing w:after="0" w:line="240" w:lineRule="auto"/>
        <w:contextualSpacing/>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color w:val="000000"/>
          <w:sz w:val="24"/>
          <w:szCs w:val="24"/>
        </w:rPr>
        <w:t>See the product’s package insert</w:t>
      </w:r>
    </w:p>
    <w:p w:rsidR="00D52458" w:rsidRPr="00D52458" w:rsidRDefault="00D52458" w:rsidP="00D52458">
      <w:pPr>
        <w:numPr>
          <w:ilvl w:val="0"/>
          <w:numId w:val="7"/>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See Adverse Events Following Vaccinations page of this section</w:t>
      </w:r>
    </w:p>
    <w:p w:rsidR="00D52458" w:rsidRPr="00D52458" w:rsidRDefault="00D52458" w:rsidP="00D52458">
      <w:pPr>
        <w:autoSpaceDE w:val="0"/>
        <w:autoSpaceDN w:val="0"/>
        <w:adjustRightInd w:val="0"/>
        <w:spacing w:after="0" w:line="240" w:lineRule="auto"/>
        <w:ind w:left="720"/>
        <w:contextualSpacing/>
        <w:rPr>
          <w:rFonts w:ascii="Times New Roman" w:eastAsia="Times New Roman" w:hAnsi="Times New Roman" w:cs="Times New Roman"/>
          <w:b/>
          <w:color w:val="000000"/>
          <w:sz w:val="24"/>
          <w:szCs w:val="24"/>
          <w:u w:val="single"/>
        </w:rPr>
      </w:pPr>
    </w:p>
    <w:p w:rsidR="00D52458" w:rsidRPr="00D52458" w:rsidRDefault="00D52458" w:rsidP="00D52458">
      <w:pPr>
        <w:keepNext/>
        <w:keepLines/>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b/>
          <w:color w:val="000000"/>
          <w:sz w:val="24"/>
          <w:szCs w:val="24"/>
          <w:u w:val="single"/>
        </w:rPr>
        <w:t>Storage and Handling</w:t>
      </w:r>
    </w:p>
    <w:p w:rsidR="00D52458" w:rsidRPr="00D52458" w:rsidRDefault="00D52458" w:rsidP="00D52458">
      <w:pPr>
        <w:keepNext/>
        <w:keepLines/>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D52458" w:rsidRPr="00D52458" w:rsidRDefault="00D52458" w:rsidP="00D52458">
      <w:pPr>
        <w:keepNext/>
        <w:keepLines/>
        <w:numPr>
          <w:ilvl w:val="0"/>
          <w:numId w:val="2"/>
        </w:num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color w:val="000000"/>
          <w:sz w:val="24"/>
          <w:szCs w:val="24"/>
        </w:rPr>
        <w:t>Store in refrigerator at 36</w:t>
      </w:r>
      <w:r w:rsidRPr="00D52458">
        <w:rPr>
          <w:rFonts w:ascii="Times New Roman" w:eastAsia="Times New Roman" w:hAnsi="Times New Roman" w:cs="Times New Roman"/>
          <w:color w:val="000000"/>
          <w:sz w:val="24"/>
          <w:szCs w:val="24"/>
          <w:vertAlign w:val="superscript"/>
        </w:rPr>
        <w:t>o</w:t>
      </w:r>
      <w:r w:rsidRPr="00D52458">
        <w:rPr>
          <w:rFonts w:ascii="Times New Roman" w:eastAsia="Times New Roman" w:hAnsi="Times New Roman" w:cs="Times New Roman"/>
          <w:color w:val="000000"/>
          <w:sz w:val="24"/>
          <w:szCs w:val="24"/>
        </w:rPr>
        <w:t>F – 46</w:t>
      </w:r>
      <w:r w:rsidRPr="00D52458">
        <w:rPr>
          <w:rFonts w:ascii="Times New Roman" w:eastAsia="Times New Roman" w:hAnsi="Times New Roman" w:cs="Times New Roman"/>
          <w:color w:val="000000"/>
          <w:sz w:val="24"/>
          <w:szCs w:val="24"/>
          <w:vertAlign w:val="superscript"/>
        </w:rPr>
        <w:t>o</w:t>
      </w:r>
      <w:r w:rsidRPr="00D52458">
        <w:rPr>
          <w:rFonts w:ascii="Times New Roman" w:eastAsia="Times New Roman" w:hAnsi="Times New Roman" w:cs="Times New Roman"/>
          <w:color w:val="000000"/>
          <w:sz w:val="24"/>
          <w:szCs w:val="24"/>
        </w:rPr>
        <w:t>F (2</w:t>
      </w:r>
      <w:r w:rsidRPr="00D52458">
        <w:rPr>
          <w:rFonts w:ascii="Times New Roman" w:eastAsia="Times New Roman" w:hAnsi="Times New Roman" w:cs="Times New Roman"/>
          <w:color w:val="000000"/>
          <w:sz w:val="24"/>
          <w:szCs w:val="24"/>
          <w:vertAlign w:val="superscript"/>
        </w:rPr>
        <w:t>o</w:t>
      </w:r>
      <w:r w:rsidRPr="00D52458">
        <w:rPr>
          <w:rFonts w:ascii="Times New Roman" w:eastAsia="Times New Roman" w:hAnsi="Times New Roman" w:cs="Times New Roman"/>
          <w:color w:val="000000"/>
          <w:sz w:val="24"/>
          <w:szCs w:val="24"/>
        </w:rPr>
        <w:t>C – 8</w:t>
      </w:r>
      <w:r w:rsidRPr="00D52458">
        <w:rPr>
          <w:rFonts w:ascii="Times New Roman" w:eastAsia="Times New Roman" w:hAnsi="Times New Roman" w:cs="Times New Roman"/>
          <w:color w:val="000000"/>
          <w:sz w:val="24"/>
          <w:szCs w:val="24"/>
          <w:vertAlign w:val="superscript"/>
        </w:rPr>
        <w:t>o</w:t>
      </w:r>
      <w:r w:rsidRPr="00D52458">
        <w:rPr>
          <w:rFonts w:ascii="Times New Roman" w:eastAsia="Times New Roman" w:hAnsi="Times New Roman" w:cs="Times New Roman"/>
          <w:color w:val="000000"/>
          <w:sz w:val="24"/>
          <w:szCs w:val="24"/>
        </w:rPr>
        <w:t>C)</w:t>
      </w:r>
    </w:p>
    <w:p w:rsidR="00D52458" w:rsidRPr="00D52458" w:rsidRDefault="00D52458" w:rsidP="00D52458">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DO NOT FREEZE; discard if product </w:t>
      </w:r>
      <w:proofErr w:type="gramStart"/>
      <w:r w:rsidRPr="00D52458">
        <w:rPr>
          <w:rFonts w:ascii="Times New Roman" w:eastAsia="Times New Roman" w:hAnsi="Times New Roman" w:cs="Times New Roman"/>
          <w:color w:val="000000"/>
          <w:sz w:val="24"/>
          <w:szCs w:val="24"/>
        </w:rPr>
        <w:t>has been frozen</w:t>
      </w:r>
      <w:proofErr w:type="gramEnd"/>
      <w:r w:rsidRPr="00D52458">
        <w:rPr>
          <w:rFonts w:ascii="Times New Roman" w:eastAsia="Times New Roman" w:hAnsi="Times New Roman" w:cs="Times New Roman"/>
          <w:color w:val="000000"/>
          <w:sz w:val="24"/>
          <w:szCs w:val="24"/>
        </w:rPr>
        <w:t>.</w:t>
      </w:r>
    </w:p>
    <w:p w:rsidR="00D52458" w:rsidRPr="00D52458" w:rsidRDefault="00D52458" w:rsidP="00D52458">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D52458">
        <w:rPr>
          <w:rFonts w:ascii="Times New Roman" w:eastAsia="Times New Roman" w:hAnsi="Times New Roman" w:cs="Times New Roman"/>
          <w:b/>
          <w:color w:val="000000"/>
          <w:sz w:val="24"/>
          <w:szCs w:val="24"/>
          <w:u w:val="single"/>
        </w:rPr>
        <w:t xml:space="preserve">Other Important Notes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4"/>
          <w:u w:val="single"/>
        </w:rPr>
      </w:pPr>
    </w:p>
    <w:p w:rsidR="00D52458" w:rsidRPr="00D52458" w:rsidRDefault="00D52458" w:rsidP="00D52458">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If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w:t>
      </w:r>
      <w:proofErr w:type="gramStart"/>
      <w:r w:rsidRPr="00D52458">
        <w:rPr>
          <w:rFonts w:ascii="Times New Roman" w:eastAsia="Times New Roman" w:hAnsi="Times New Roman" w:cs="Times New Roman"/>
          <w:color w:val="000000"/>
          <w:sz w:val="24"/>
          <w:szCs w:val="24"/>
        </w:rPr>
        <w:t>is administered</w:t>
      </w:r>
      <w:proofErr w:type="gramEnd"/>
      <w:r w:rsidRPr="00D52458">
        <w:rPr>
          <w:rFonts w:ascii="Times New Roman" w:eastAsia="Times New Roman" w:hAnsi="Times New Roman" w:cs="Times New Roman"/>
          <w:color w:val="000000"/>
          <w:sz w:val="24"/>
          <w:szCs w:val="24"/>
        </w:rPr>
        <w:t xml:space="preserve"> concomitantly with hepatitis B immune globulin (HBIG), use a separate syringe and a different site, preferably a different limb.</w:t>
      </w:r>
    </w:p>
    <w:p w:rsidR="00D52458" w:rsidRPr="00D52458" w:rsidRDefault="00D52458" w:rsidP="00D52458">
      <w:pPr>
        <w:numPr>
          <w:ilvl w:val="0"/>
          <w:numId w:val="6"/>
        </w:numPr>
        <w:autoSpaceDE w:val="0"/>
        <w:autoSpaceDN w:val="0"/>
        <w:adjustRightInd w:val="0"/>
        <w:spacing w:after="0" w:line="240" w:lineRule="auto"/>
        <w:rPr>
          <w:rFonts w:ascii="Times New Roman" w:eastAsia="Times New Roman" w:hAnsi="Times New Roman" w:cs="Times New Roman"/>
          <w:color w:val="000000"/>
          <w:sz w:val="24"/>
          <w:szCs w:val="24"/>
        </w:rPr>
      </w:pPr>
      <w:r w:rsidRPr="00D52458">
        <w:rPr>
          <w:rFonts w:ascii="Times New Roman" w:eastAsia="Times New Roman" w:hAnsi="Times New Roman" w:cs="Times New Roman"/>
          <w:color w:val="000000"/>
          <w:sz w:val="24"/>
          <w:szCs w:val="24"/>
        </w:rPr>
        <w:t xml:space="preserve">Exposed unvaccinated persons should receive the </w:t>
      </w:r>
      <w:proofErr w:type="spellStart"/>
      <w:r w:rsidRPr="00D52458">
        <w:rPr>
          <w:rFonts w:ascii="Times New Roman" w:eastAsia="Times New Roman" w:hAnsi="Times New Roman" w:cs="Times New Roman"/>
          <w:color w:val="000000"/>
          <w:sz w:val="24"/>
          <w:szCs w:val="24"/>
        </w:rPr>
        <w:t>HepB</w:t>
      </w:r>
      <w:proofErr w:type="spellEnd"/>
      <w:r w:rsidRPr="00D52458">
        <w:rPr>
          <w:rFonts w:ascii="Times New Roman" w:eastAsia="Times New Roman" w:hAnsi="Times New Roman" w:cs="Times New Roman"/>
          <w:color w:val="000000"/>
          <w:sz w:val="24"/>
          <w:szCs w:val="24"/>
        </w:rPr>
        <w:t xml:space="preserve"> vaccine series with the first dose administered as soon as possible after exposure, preferably within 24 hours.  The vaccine series </w:t>
      </w:r>
      <w:proofErr w:type="gramStart"/>
      <w:r w:rsidRPr="00D52458">
        <w:rPr>
          <w:rFonts w:ascii="Times New Roman" w:eastAsia="Times New Roman" w:hAnsi="Times New Roman" w:cs="Times New Roman"/>
          <w:color w:val="000000"/>
          <w:sz w:val="24"/>
          <w:szCs w:val="24"/>
        </w:rPr>
        <w:t>should be completed</w:t>
      </w:r>
      <w:proofErr w:type="gramEnd"/>
      <w:r w:rsidRPr="00D52458">
        <w:rPr>
          <w:rFonts w:ascii="Times New Roman" w:eastAsia="Times New Roman" w:hAnsi="Times New Roman" w:cs="Times New Roman"/>
          <w:color w:val="000000"/>
          <w:sz w:val="24"/>
          <w:szCs w:val="24"/>
        </w:rPr>
        <w:t xml:space="preserve"> according to the vaccination schedule.</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4"/>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b/>
          <w:color w:val="000000"/>
          <w:sz w:val="24"/>
          <w:szCs w:val="20"/>
          <w:u w:val="single"/>
        </w:rPr>
      </w:pPr>
      <w:r w:rsidRPr="00D52458">
        <w:rPr>
          <w:rFonts w:ascii="Times New Roman" w:eastAsia="Times New Roman" w:hAnsi="Times New Roman" w:cs="Times New Roman"/>
          <w:b/>
          <w:color w:val="000000"/>
          <w:sz w:val="24"/>
          <w:szCs w:val="20"/>
          <w:u w:val="single"/>
        </w:rPr>
        <w:br w:type="page"/>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0"/>
        </w:rPr>
      </w:pPr>
      <w:r w:rsidRPr="00D52458">
        <w:rPr>
          <w:rFonts w:ascii="Times New Roman" w:eastAsia="Times New Roman" w:hAnsi="Times New Roman" w:cs="Times New Roman"/>
          <w:b/>
          <w:color w:val="000000"/>
          <w:sz w:val="24"/>
          <w:szCs w:val="20"/>
          <w:u w:val="single"/>
        </w:rPr>
        <w:lastRenderedPageBreak/>
        <w:t>References</w:t>
      </w:r>
      <w:r w:rsidRPr="00D52458">
        <w:rPr>
          <w:rFonts w:ascii="Times New Roman" w:eastAsia="Times New Roman" w:hAnsi="Times New Roman" w:cs="Times New Roman"/>
          <w:b/>
          <w:color w:val="000000"/>
          <w:sz w:val="24"/>
          <w:szCs w:val="20"/>
        </w:rPr>
        <w:t>:</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CDC Prevention of Hepatitis B Virus Infection in the United States:  Recommendations of the Advisory Committee on Immunization Practices (ACIP).  MMWR, 2018, Vol. 67/No.1</w:t>
      </w:r>
    </w:p>
    <w:bookmarkStart w:id="1" w:name="_Hlk510990547"/>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fldChar w:fldCharType="begin"/>
      </w:r>
      <w:r w:rsidRPr="00D52458">
        <w:rPr>
          <w:rFonts w:ascii="Times New Roman" w:eastAsia="Times New Roman" w:hAnsi="Times New Roman" w:cs="Times New Roman"/>
          <w:color w:val="000000"/>
          <w:sz w:val="24"/>
          <w:szCs w:val="20"/>
        </w:rPr>
        <w:instrText xml:space="preserve"> HYPERLINK "https://www.cdc.gov/mmwr/volumes/67/rr/pdfs/rr6701-H.pdf" </w:instrText>
      </w:r>
      <w:r w:rsidRPr="00D52458">
        <w:rPr>
          <w:rFonts w:ascii="Times New Roman" w:eastAsia="Times New Roman" w:hAnsi="Times New Roman" w:cs="Times New Roman"/>
          <w:color w:val="000000"/>
          <w:sz w:val="24"/>
          <w:szCs w:val="20"/>
        </w:rPr>
        <w:fldChar w:fldCharType="separate"/>
      </w:r>
      <w:r w:rsidRPr="00D52458">
        <w:rPr>
          <w:rFonts w:ascii="Times New Roman" w:eastAsia="Times New Roman" w:hAnsi="Times New Roman" w:cs="Times New Roman"/>
          <w:color w:val="0000FF"/>
          <w:sz w:val="24"/>
          <w:szCs w:val="20"/>
          <w:u w:val="single"/>
        </w:rPr>
        <w:t>https://www.cdc.gov/mmwr/volumes/67/rr/pdfs/rr6701-H.pdf</w:t>
      </w:r>
      <w:r w:rsidRPr="00D52458">
        <w:rPr>
          <w:rFonts w:ascii="Times New Roman" w:eastAsia="Times New Roman" w:hAnsi="Times New Roman" w:cs="Times New Roman"/>
          <w:color w:val="000000"/>
          <w:sz w:val="24"/>
          <w:szCs w:val="20"/>
        </w:rPr>
        <w:fldChar w:fldCharType="end"/>
      </w:r>
      <w:r w:rsidRPr="00D52458">
        <w:rPr>
          <w:rFonts w:ascii="Times New Roman" w:eastAsia="Times New Roman" w:hAnsi="Times New Roman" w:cs="Times New Roman"/>
          <w:color w:val="000000"/>
          <w:sz w:val="24"/>
          <w:szCs w:val="20"/>
        </w:rPr>
        <w:t>.</w:t>
      </w:r>
      <w:bookmarkEnd w:id="1"/>
      <w:r w:rsidRPr="00D52458">
        <w:rPr>
          <w:rFonts w:ascii="Times New Roman" w:eastAsia="Times New Roman" w:hAnsi="Times New Roman" w:cs="Times New Roman"/>
          <w:color w:val="000000"/>
          <w:sz w:val="24"/>
          <w:szCs w:val="20"/>
        </w:rPr>
        <w:t xml:space="preserve">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b/>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Immunization Action Coalition (IAC): Needle Tips; ACIP Votes to Update Recommendations for HPV, </w:t>
      </w:r>
      <w:proofErr w:type="spellStart"/>
      <w:r w:rsidRPr="00D52458">
        <w:rPr>
          <w:rFonts w:ascii="Times New Roman" w:eastAsia="Times New Roman" w:hAnsi="Times New Roman" w:cs="Times New Roman"/>
          <w:color w:val="000000"/>
          <w:sz w:val="24"/>
          <w:szCs w:val="20"/>
        </w:rPr>
        <w:t>Tdap</w:t>
      </w:r>
      <w:proofErr w:type="spellEnd"/>
      <w:r w:rsidRPr="00D52458">
        <w:rPr>
          <w:rFonts w:ascii="Times New Roman" w:eastAsia="Times New Roman" w:hAnsi="Times New Roman" w:cs="Times New Roman"/>
          <w:color w:val="000000"/>
          <w:sz w:val="24"/>
          <w:szCs w:val="20"/>
        </w:rPr>
        <w:t xml:space="preserve">, </w:t>
      </w:r>
      <w:proofErr w:type="spellStart"/>
      <w:r w:rsidRPr="00D52458">
        <w:rPr>
          <w:rFonts w:ascii="Times New Roman" w:eastAsia="Times New Roman" w:hAnsi="Times New Roman" w:cs="Times New Roman"/>
          <w:color w:val="000000"/>
          <w:sz w:val="24"/>
          <w:szCs w:val="20"/>
        </w:rPr>
        <w:t>MenB</w:t>
      </w:r>
      <w:proofErr w:type="spellEnd"/>
      <w:r w:rsidRPr="00D52458">
        <w:rPr>
          <w:rFonts w:ascii="Times New Roman" w:eastAsia="Times New Roman" w:hAnsi="Times New Roman" w:cs="Times New Roman"/>
          <w:color w:val="000000"/>
          <w:sz w:val="24"/>
          <w:szCs w:val="20"/>
        </w:rPr>
        <w:t xml:space="preserve"> and </w:t>
      </w:r>
      <w:proofErr w:type="spellStart"/>
      <w:r w:rsidRPr="00D52458">
        <w:rPr>
          <w:rFonts w:ascii="Times New Roman" w:eastAsia="Times New Roman" w:hAnsi="Times New Roman" w:cs="Times New Roman"/>
          <w:color w:val="000000"/>
          <w:sz w:val="24"/>
          <w:szCs w:val="20"/>
        </w:rPr>
        <w:t>HepB</w:t>
      </w:r>
      <w:proofErr w:type="spellEnd"/>
      <w:r w:rsidRPr="00D52458">
        <w:rPr>
          <w:rFonts w:ascii="Times New Roman" w:eastAsia="Times New Roman" w:hAnsi="Times New Roman" w:cs="Times New Roman"/>
          <w:color w:val="000000"/>
          <w:sz w:val="24"/>
          <w:szCs w:val="20"/>
        </w:rPr>
        <w:t xml:space="preserve"> Vaccines; Volume 26-Number 4; December 2016 </w:t>
      </w:r>
      <w:hyperlink r:id="rId14" w:history="1">
        <w:r w:rsidRPr="00D52458">
          <w:rPr>
            <w:rFonts w:ascii="Times New Roman" w:eastAsia="Times New Roman" w:hAnsi="Times New Roman" w:cs="Times New Roman"/>
            <w:color w:val="0000FF"/>
            <w:sz w:val="24"/>
            <w:szCs w:val="20"/>
            <w:u w:val="single"/>
          </w:rPr>
          <w:t>http://www.immunize.org/nt/</w:t>
        </w:r>
      </w:hyperlink>
      <w:r w:rsidRPr="00D52458">
        <w:rPr>
          <w:rFonts w:ascii="Times New Roman" w:eastAsia="Times New Roman" w:hAnsi="Times New Roman" w:cs="Times New Roman"/>
          <w:color w:val="000000"/>
          <w:sz w:val="24"/>
          <w:szCs w:val="20"/>
        </w:rPr>
        <w:t xml:space="preserve">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ACIP VFC Resolution 2/17-1, “Vaccines to Prevent Hepatitis B”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hyperlink r:id="rId15" w:history="1">
        <w:r w:rsidRPr="00D52458">
          <w:rPr>
            <w:rFonts w:ascii="Times New Roman" w:eastAsia="Times New Roman" w:hAnsi="Times New Roman" w:cs="Times New Roman"/>
            <w:color w:val="0000FF"/>
            <w:sz w:val="24"/>
            <w:szCs w:val="20"/>
            <w:u w:val="single"/>
          </w:rPr>
          <w:t>http://www.cdc.gov/vaccines/programs/vfc/downloads/resolutions/2017-02-01-hepb.pdf</w:t>
        </w:r>
      </w:hyperlink>
      <w:r w:rsidRPr="00D52458">
        <w:rPr>
          <w:rFonts w:ascii="Times New Roman" w:eastAsia="Times New Roman" w:hAnsi="Times New Roman" w:cs="Times New Roman"/>
          <w:color w:val="000000"/>
          <w:sz w:val="24"/>
          <w:szCs w:val="20"/>
        </w:rPr>
        <w:t xml:space="preserve">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Calibri" w:hAnsi="Times New Roman" w:cs="Times New Roman"/>
          <w:sz w:val="24"/>
          <w:szCs w:val="24"/>
        </w:rPr>
      </w:pPr>
      <w:r w:rsidRPr="00D52458">
        <w:rPr>
          <w:rFonts w:ascii="Times New Roman" w:eastAsia="Calibri" w:hAnsi="Times New Roman" w:cs="Times New Roman"/>
          <w:sz w:val="24"/>
          <w:szCs w:val="24"/>
        </w:rPr>
        <w:t xml:space="preserve">Healthcare Personnel Vaccination Recommendations:  </w:t>
      </w:r>
      <w:hyperlink r:id="rId16" w:history="1">
        <w:r w:rsidRPr="00D52458">
          <w:rPr>
            <w:rFonts w:ascii="Times New Roman" w:eastAsia="Calibri" w:hAnsi="Times New Roman" w:cs="Times New Roman"/>
            <w:color w:val="0000FF"/>
            <w:sz w:val="24"/>
            <w:szCs w:val="24"/>
            <w:u w:val="single"/>
          </w:rPr>
          <w:t>www.immunize.org/catg.d/p2017.pdf</w:t>
        </w:r>
      </w:hyperlink>
    </w:p>
    <w:p w:rsidR="00D52458" w:rsidRPr="00D52458" w:rsidRDefault="00D52458" w:rsidP="00D52458">
      <w:pPr>
        <w:spacing w:after="0" w:line="240" w:lineRule="auto"/>
        <w:rPr>
          <w:rFonts w:ascii="Times New Roman" w:eastAsia="Calibri" w:hAnsi="Times New Roman" w:cs="Times New Roman"/>
          <w:sz w:val="24"/>
          <w:szCs w:val="24"/>
        </w:rPr>
      </w:pPr>
    </w:p>
    <w:p w:rsidR="00D52458" w:rsidRPr="00D52458" w:rsidRDefault="00D52458" w:rsidP="00D52458">
      <w:pPr>
        <w:spacing w:after="0" w:line="240" w:lineRule="auto"/>
        <w:rPr>
          <w:rFonts w:ascii="Times New Roman" w:eastAsia="Calibri" w:hAnsi="Times New Roman" w:cs="Times New Roman"/>
          <w:sz w:val="24"/>
          <w:szCs w:val="24"/>
        </w:rPr>
      </w:pPr>
      <w:r w:rsidRPr="00D52458">
        <w:rPr>
          <w:rFonts w:ascii="Times New Roman" w:eastAsia="Calibri" w:hAnsi="Times New Roman" w:cs="Times New Roman"/>
          <w:sz w:val="24"/>
          <w:szCs w:val="24"/>
        </w:rPr>
        <w:t>CDC</w:t>
      </w:r>
      <w:proofErr w:type="gramStart"/>
      <w:r w:rsidRPr="00D52458">
        <w:rPr>
          <w:rFonts w:ascii="Times New Roman" w:eastAsia="Calibri" w:hAnsi="Times New Roman" w:cs="Times New Roman"/>
          <w:sz w:val="24"/>
          <w:szCs w:val="24"/>
        </w:rPr>
        <w:t>.  Recommended</w:t>
      </w:r>
      <w:proofErr w:type="gramEnd"/>
      <w:r w:rsidRPr="00D52458">
        <w:rPr>
          <w:rFonts w:ascii="Times New Roman" w:eastAsia="Calibri" w:hAnsi="Times New Roman" w:cs="Times New Roman"/>
          <w:sz w:val="24"/>
          <w:szCs w:val="24"/>
        </w:rPr>
        <w:t xml:space="preserve"> Immunization Schedule for Children and Adolescents Aged 18 Years or Younger, United States, 2018, </w:t>
      </w:r>
      <w:hyperlink r:id="rId17" w:history="1">
        <w:r w:rsidRPr="00D52458">
          <w:rPr>
            <w:rFonts w:ascii="Times New Roman" w:eastAsia="Calibri" w:hAnsi="Times New Roman" w:cs="Times New Roman"/>
            <w:color w:val="0000FF"/>
            <w:sz w:val="24"/>
            <w:szCs w:val="24"/>
            <w:u w:val="single"/>
          </w:rPr>
          <w:t>http://www.cdc.gov/vaccines/sch</w:t>
        </w:r>
        <w:r w:rsidRPr="00D52458">
          <w:rPr>
            <w:rFonts w:ascii="Times New Roman" w:eastAsia="Calibri" w:hAnsi="Times New Roman" w:cs="Times New Roman"/>
            <w:color w:val="0000FF"/>
            <w:sz w:val="24"/>
            <w:szCs w:val="20"/>
            <w:u w:val="single"/>
          </w:rPr>
          <w:t>edules/hcp/child-adolescent.html</w:t>
        </w:r>
      </w:hyperlink>
      <w:r w:rsidRPr="00D52458">
        <w:rPr>
          <w:rFonts w:ascii="Times New Roman" w:eastAsia="Calibri" w:hAnsi="Times New Roman" w:cs="Times New Roman"/>
          <w:sz w:val="24"/>
          <w:szCs w:val="24"/>
        </w:rPr>
        <w:t xml:space="preserve"> </w:t>
      </w:r>
    </w:p>
    <w:p w:rsidR="00D52458" w:rsidRPr="00D52458" w:rsidRDefault="00D52458" w:rsidP="00D52458">
      <w:pPr>
        <w:spacing w:after="0" w:line="240" w:lineRule="auto"/>
        <w:rPr>
          <w:rFonts w:ascii="Times New Roman" w:eastAsia="Calibri" w:hAnsi="Times New Roman" w:cs="Times New Roman"/>
          <w:sz w:val="24"/>
          <w:szCs w:val="24"/>
        </w:rPr>
      </w:pPr>
    </w:p>
    <w:p w:rsidR="00D52458" w:rsidRPr="00D52458" w:rsidRDefault="00D52458" w:rsidP="00D52458">
      <w:pPr>
        <w:spacing w:after="0" w:line="240" w:lineRule="auto"/>
        <w:rPr>
          <w:rFonts w:ascii="Times New Roman" w:eastAsia="Calibri" w:hAnsi="Times New Roman" w:cs="Times New Roman"/>
          <w:sz w:val="24"/>
          <w:szCs w:val="24"/>
        </w:rPr>
      </w:pPr>
      <w:r w:rsidRPr="00D52458">
        <w:rPr>
          <w:rFonts w:ascii="Times New Roman" w:eastAsia="Calibri" w:hAnsi="Times New Roman" w:cs="Times New Roman"/>
          <w:sz w:val="24"/>
          <w:szCs w:val="24"/>
        </w:rPr>
        <w:t xml:space="preserve">CDC.   Recommended Immunization Schedule for Adults Aged 19 Years or Older, United States, 2018, </w:t>
      </w:r>
      <w:hyperlink r:id="rId18" w:history="1">
        <w:r w:rsidRPr="00D52458">
          <w:rPr>
            <w:rFonts w:ascii="Times New Roman" w:eastAsia="Calibri" w:hAnsi="Times New Roman" w:cs="Times New Roman"/>
            <w:color w:val="0000FF"/>
            <w:sz w:val="24"/>
            <w:szCs w:val="24"/>
            <w:u w:val="single"/>
          </w:rPr>
          <w:t>http://www.cdc.gov/vaccines/schedules/hcp/adult.html</w:t>
        </w:r>
      </w:hyperlink>
      <w:r w:rsidRPr="00D52458">
        <w:rPr>
          <w:rFonts w:ascii="Times New Roman" w:eastAsia="Calibri" w:hAnsi="Times New Roman" w:cs="Times New Roman"/>
          <w:sz w:val="24"/>
          <w:szCs w:val="24"/>
        </w:rPr>
        <w:t xml:space="preserve"> </w:t>
      </w:r>
    </w:p>
    <w:p w:rsidR="00D52458" w:rsidRPr="00D52458" w:rsidRDefault="00D52458" w:rsidP="00D52458">
      <w:pPr>
        <w:spacing w:after="0" w:line="240" w:lineRule="auto"/>
        <w:rPr>
          <w:rFonts w:ascii="Times New Roman" w:eastAsia="Calibri" w:hAnsi="Times New Roman" w:cs="Times New Roman"/>
          <w:sz w:val="24"/>
          <w:szCs w:val="24"/>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 xml:space="preserve">Centers for Disease Control and Prevention.  Epidemiology and Prevention of Vaccine-Preventable Diseases.  </w:t>
      </w:r>
      <w:proofErr w:type="spellStart"/>
      <w:r w:rsidRPr="00D52458">
        <w:rPr>
          <w:rFonts w:ascii="Times New Roman" w:eastAsia="Times New Roman" w:hAnsi="Times New Roman" w:cs="Times New Roman"/>
          <w:color w:val="000000"/>
          <w:sz w:val="24"/>
          <w:szCs w:val="20"/>
        </w:rPr>
        <w:t>Hamborsky</w:t>
      </w:r>
      <w:proofErr w:type="spellEnd"/>
      <w:r w:rsidRPr="00D52458">
        <w:rPr>
          <w:rFonts w:ascii="Times New Roman" w:eastAsia="Times New Roman" w:hAnsi="Times New Roman" w:cs="Times New Roman"/>
          <w:color w:val="000000"/>
          <w:sz w:val="24"/>
          <w:szCs w:val="20"/>
        </w:rPr>
        <w:t xml:space="preserve"> J, Kroger A, Wolfe S, eds. 13th ed. Washington D.C. Public Health Foundation, 2015.  (Pink Book):  </w:t>
      </w:r>
      <w:hyperlink r:id="rId19" w:history="1">
        <w:r w:rsidRPr="00D52458">
          <w:rPr>
            <w:rFonts w:ascii="Times New Roman" w:eastAsia="Times New Roman" w:hAnsi="Times New Roman" w:cs="Times New Roman"/>
            <w:color w:val="0000FF"/>
            <w:sz w:val="24"/>
            <w:szCs w:val="20"/>
            <w:u w:val="single"/>
          </w:rPr>
          <w:t>https://www.cdc.gov/vaccines/pubs/pinkbook/hepb.html</w:t>
        </w:r>
      </w:hyperlink>
      <w:r w:rsidRPr="00D52458">
        <w:rPr>
          <w:rFonts w:ascii="Times New Roman" w:eastAsia="Times New Roman" w:hAnsi="Times New Roman" w:cs="Times New Roman"/>
          <w:color w:val="000000"/>
          <w:sz w:val="24"/>
          <w:szCs w:val="20"/>
        </w:rPr>
        <w:t xml:space="preserve">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Hepatitis B.  Centers for Disease Control and Prevention.  CDC Yellow Book 2018: Health Information for International Travel.  New York: Oxford University Press; 2017.</w:t>
      </w:r>
      <w:r w:rsidRPr="00D52458">
        <w:rPr>
          <w:rFonts w:ascii="Times New Roman" w:eastAsia="Times New Roman" w:hAnsi="Times New Roman" w:cs="Times New Roman"/>
          <w:color w:val="000000"/>
          <w:sz w:val="24"/>
          <w:szCs w:val="20"/>
        </w:rPr>
        <w:br/>
      </w:r>
      <w:hyperlink r:id="rId20" w:history="1">
        <w:r w:rsidRPr="00D52458">
          <w:rPr>
            <w:rFonts w:ascii="Times New Roman" w:eastAsia="Times New Roman" w:hAnsi="Times New Roman" w:cs="Times New Roman"/>
            <w:color w:val="0000FF"/>
            <w:sz w:val="24"/>
            <w:szCs w:val="20"/>
            <w:u w:val="single"/>
          </w:rPr>
          <w:t>https://wwwnc.cdc.gov/travel/yellowbook/2018/infectious-diseases-related-to-travel/hepatitis-b</w:t>
        </w:r>
      </w:hyperlink>
      <w:r w:rsidRPr="00D52458">
        <w:rPr>
          <w:rFonts w:ascii="Times New Roman" w:eastAsia="Times New Roman" w:hAnsi="Times New Roman" w:cs="Times New Roman"/>
          <w:color w:val="000000"/>
          <w:sz w:val="24"/>
          <w:szCs w:val="20"/>
        </w:rPr>
        <w:t xml:space="preserve"> </w:t>
      </w: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autoSpaceDE w:val="0"/>
        <w:autoSpaceDN w:val="0"/>
        <w:adjustRightInd w:val="0"/>
        <w:spacing w:after="0" w:line="240" w:lineRule="auto"/>
        <w:rPr>
          <w:rFonts w:ascii="Times New Roman" w:eastAsia="Times New Roman" w:hAnsi="Times New Roman" w:cs="Times New Roman"/>
          <w:color w:val="000000"/>
          <w:sz w:val="24"/>
          <w:szCs w:val="20"/>
        </w:rPr>
      </w:pPr>
    </w:p>
    <w:p w:rsidR="00D52458" w:rsidRPr="00D52458" w:rsidRDefault="00D52458" w:rsidP="00D52458">
      <w:pPr>
        <w:spacing w:after="0" w:line="240" w:lineRule="auto"/>
        <w:rPr>
          <w:rFonts w:ascii="Times New Roman" w:eastAsia="Times New Roman" w:hAnsi="Times New Roman" w:cs="Times New Roman"/>
          <w:color w:val="000000"/>
          <w:sz w:val="24"/>
          <w:szCs w:val="20"/>
        </w:rPr>
      </w:pPr>
      <w:r w:rsidRPr="00D52458">
        <w:rPr>
          <w:rFonts w:ascii="Times New Roman" w:eastAsia="Times New Roman" w:hAnsi="Times New Roman" w:cs="Times New Roman"/>
          <w:color w:val="000000"/>
          <w:sz w:val="24"/>
          <w:szCs w:val="20"/>
        </w:rPr>
        <w:t>Updated July 1, 2014, July 1 2017, and July 1, 2018</w:t>
      </w:r>
    </w:p>
    <w:p w:rsidR="00F25F63" w:rsidRDefault="00F25F63"/>
    <w:sectPr w:rsidR="00F25F63" w:rsidSect="00444B6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2F" w:rsidRDefault="00235B2F" w:rsidP="00D52458">
      <w:pPr>
        <w:spacing w:after="0" w:line="240" w:lineRule="auto"/>
      </w:pPr>
      <w:r>
        <w:separator/>
      </w:r>
    </w:p>
  </w:endnote>
  <w:endnote w:type="continuationSeparator" w:id="0">
    <w:p w:rsidR="00235B2F" w:rsidRDefault="00235B2F" w:rsidP="00D5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IOPHB I+ A Garamond">
    <w:altName w:val="Garamond"/>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58" w:rsidRDefault="00D52458">
    <w:pPr>
      <w:pStyle w:val="Footer"/>
      <w:jc w:val="center"/>
      <w:rPr>
        <w:color w:val="auto"/>
        <w:sz w:val="16"/>
        <w:szCs w:val="16"/>
      </w:rPr>
    </w:pPr>
    <w:r w:rsidRPr="00D52458">
      <w:rPr>
        <w:color w:val="auto"/>
        <w:sz w:val="16"/>
        <w:szCs w:val="16"/>
      </w:rPr>
      <w:t xml:space="preserve">Page </w:t>
    </w:r>
    <w:r w:rsidRPr="00D52458">
      <w:rPr>
        <w:color w:val="auto"/>
        <w:sz w:val="16"/>
        <w:szCs w:val="16"/>
      </w:rPr>
      <w:fldChar w:fldCharType="begin"/>
    </w:r>
    <w:r w:rsidRPr="00D52458">
      <w:rPr>
        <w:color w:val="auto"/>
        <w:sz w:val="16"/>
        <w:szCs w:val="16"/>
      </w:rPr>
      <w:instrText xml:space="preserve"> PAGE  \* Arabic  \* MERGEFORMAT </w:instrText>
    </w:r>
    <w:r w:rsidRPr="00D52458">
      <w:rPr>
        <w:color w:val="auto"/>
        <w:sz w:val="16"/>
        <w:szCs w:val="16"/>
      </w:rPr>
      <w:fldChar w:fldCharType="separate"/>
    </w:r>
    <w:r>
      <w:rPr>
        <w:noProof/>
        <w:color w:val="auto"/>
        <w:sz w:val="16"/>
        <w:szCs w:val="16"/>
      </w:rPr>
      <w:t>15</w:t>
    </w:r>
    <w:r w:rsidRPr="00D52458">
      <w:rPr>
        <w:color w:val="auto"/>
        <w:sz w:val="16"/>
        <w:szCs w:val="16"/>
      </w:rPr>
      <w:fldChar w:fldCharType="end"/>
    </w:r>
    <w:r w:rsidRPr="00D52458">
      <w:rPr>
        <w:color w:val="auto"/>
        <w:sz w:val="16"/>
        <w:szCs w:val="16"/>
      </w:rPr>
      <w:t xml:space="preserve"> of </w:t>
    </w:r>
    <w:r w:rsidRPr="00D52458">
      <w:rPr>
        <w:color w:val="auto"/>
        <w:sz w:val="16"/>
        <w:szCs w:val="16"/>
      </w:rPr>
      <w:fldChar w:fldCharType="begin"/>
    </w:r>
    <w:r w:rsidRPr="00D52458">
      <w:rPr>
        <w:color w:val="auto"/>
        <w:sz w:val="16"/>
        <w:szCs w:val="16"/>
      </w:rPr>
      <w:instrText xml:space="preserve"> NUMPAGES  \* Arabic  \* MERGEFORMAT </w:instrText>
    </w:r>
    <w:r w:rsidRPr="00D52458">
      <w:rPr>
        <w:color w:val="auto"/>
        <w:sz w:val="16"/>
        <w:szCs w:val="16"/>
      </w:rPr>
      <w:fldChar w:fldCharType="separate"/>
    </w:r>
    <w:r>
      <w:rPr>
        <w:noProof/>
        <w:color w:val="auto"/>
        <w:sz w:val="16"/>
        <w:szCs w:val="16"/>
      </w:rPr>
      <w:t>15</w:t>
    </w:r>
    <w:r w:rsidRPr="00D52458">
      <w:rPr>
        <w:color w:val="auto"/>
        <w:sz w:val="16"/>
        <w:szCs w:val="16"/>
      </w:rPr>
      <w:fldChar w:fldCharType="end"/>
    </w:r>
  </w:p>
  <w:p w:rsidR="00D52458" w:rsidRDefault="00D52458">
    <w:pPr>
      <w:pStyle w:val="Footer"/>
      <w:jc w:val="center"/>
      <w:rPr>
        <w:color w:val="auto"/>
        <w:sz w:val="16"/>
        <w:szCs w:val="16"/>
      </w:rPr>
    </w:pPr>
    <w:r>
      <w:rPr>
        <w:color w:val="auto"/>
        <w:sz w:val="16"/>
        <w:szCs w:val="16"/>
      </w:rPr>
      <w:t>Core Clinical Service Guide</w:t>
    </w:r>
  </w:p>
  <w:p w:rsidR="00D52458" w:rsidRDefault="00D52458">
    <w:pPr>
      <w:pStyle w:val="Footer"/>
      <w:jc w:val="center"/>
      <w:rPr>
        <w:color w:val="auto"/>
        <w:sz w:val="16"/>
        <w:szCs w:val="16"/>
      </w:rPr>
    </w:pPr>
    <w:r>
      <w:rPr>
        <w:color w:val="auto"/>
        <w:sz w:val="16"/>
        <w:szCs w:val="16"/>
      </w:rPr>
      <w:t xml:space="preserve">Section:  Immunizations – (K) – </w:t>
    </w:r>
    <w:proofErr w:type="spellStart"/>
    <w:r>
      <w:rPr>
        <w:color w:val="auto"/>
        <w:sz w:val="16"/>
        <w:szCs w:val="16"/>
      </w:rPr>
      <w:t>HepB</w:t>
    </w:r>
    <w:proofErr w:type="spellEnd"/>
    <w:r>
      <w:rPr>
        <w:color w:val="auto"/>
        <w:sz w:val="16"/>
        <w:szCs w:val="16"/>
      </w:rPr>
      <w:t xml:space="preserve"> (ENGERIX-B) and RECOMBIVAX HB)</w:t>
    </w:r>
  </w:p>
  <w:p w:rsidR="00D52458" w:rsidRPr="00D52458" w:rsidRDefault="00D52458">
    <w:pPr>
      <w:pStyle w:val="Footer"/>
      <w:jc w:val="center"/>
      <w:rPr>
        <w:color w:val="auto"/>
        <w:sz w:val="16"/>
        <w:szCs w:val="16"/>
      </w:rPr>
    </w:pPr>
    <w:r>
      <w:rPr>
        <w:color w:val="auto"/>
        <w:sz w:val="16"/>
        <w:szCs w:val="16"/>
      </w:rPr>
      <w:t>July 1, 2018</w:t>
    </w:r>
  </w:p>
  <w:p w:rsidR="003F276F" w:rsidRPr="00444B69" w:rsidRDefault="00235B2F" w:rsidP="00444B69">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2F" w:rsidRDefault="00235B2F" w:rsidP="00D52458">
      <w:pPr>
        <w:spacing w:after="0" w:line="240" w:lineRule="auto"/>
      </w:pPr>
      <w:r>
        <w:separator/>
      </w:r>
    </w:p>
  </w:footnote>
  <w:footnote w:type="continuationSeparator" w:id="0">
    <w:p w:rsidR="00235B2F" w:rsidRDefault="00235B2F" w:rsidP="00D52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E6D"/>
    <w:multiLevelType w:val="hybridMultilevel"/>
    <w:tmpl w:val="B23AC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A768E"/>
    <w:multiLevelType w:val="hybridMultilevel"/>
    <w:tmpl w:val="D570D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731F6F"/>
    <w:multiLevelType w:val="hybridMultilevel"/>
    <w:tmpl w:val="2FAA0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F3618"/>
    <w:multiLevelType w:val="hybridMultilevel"/>
    <w:tmpl w:val="F810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E4097"/>
    <w:multiLevelType w:val="hybridMultilevel"/>
    <w:tmpl w:val="2F5AE310"/>
    <w:lvl w:ilvl="0" w:tplc="9758A040">
      <w:start w:val="1"/>
      <w:numFmt w:val="bullet"/>
      <w:lvlText w:val="o"/>
      <w:lvlJc w:val="left"/>
      <w:pPr>
        <w:ind w:left="1080" w:hanging="360"/>
      </w:pPr>
      <w:rPr>
        <w:rFonts w:ascii="Courier New" w:hAnsi="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6F37AB"/>
    <w:multiLevelType w:val="hybridMultilevel"/>
    <w:tmpl w:val="9F8A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406AE"/>
    <w:multiLevelType w:val="hybridMultilevel"/>
    <w:tmpl w:val="FA8A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07D0D"/>
    <w:multiLevelType w:val="hybridMultilevel"/>
    <w:tmpl w:val="9FACF9E2"/>
    <w:lvl w:ilvl="0" w:tplc="0BAE878E">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51ED7"/>
    <w:multiLevelType w:val="hybridMultilevel"/>
    <w:tmpl w:val="FF5AC7F4"/>
    <w:lvl w:ilvl="0" w:tplc="F3C4690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0F27A2"/>
    <w:multiLevelType w:val="hybridMultilevel"/>
    <w:tmpl w:val="470E3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94A7B"/>
    <w:multiLevelType w:val="hybridMultilevel"/>
    <w:tmpl w:val="267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DF3D18"/>
    <w:multiLevelType w:val="hybridMultilevel"/>
    <w:tmpl w:val="102E1DBC"/>
    <w:lvl w:ilvl="0" w:tplc="9758A040">
      <w:start w:val="1"/>
      <w:numFmt w:val="bullet"/>
      <w:lvlText w:val="o"/>
      <w:lvlJc w:val="left"/>
      <w:pPr>
        <w:ind w:left="1080" w:hanging="360"/>
      </w:pPr>
      <w:rPr>
        <w:rFonts w:ascii="Courier New" w:hAnsi="Courier New" w:hint="default"/>
        <w:sz w:val="24"/>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7E6E95"/>
    <w:multiLevelType w:val="multilevel"/>
    <w:tmpl w:val="51BE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0"/>
  </w:num>
  <w:num w:numId="10">
    <w:abstractNumId w:val="1"/>
  </w:num>
  <w:num w:numId="11">
    <w:abstractNumId w:val="13"/>
  </w:num>
  <w:num w:numId="12">
    <w:abstractNumId w:val="4"/>
  </w:num>
  <w:num w:numId="13">
    <w:abstractNumId w:val="2"/>
  </w:num>
  <w:num w:numId="14">
    <w:abstractNumId w:val="6"/>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BF"/>
    <w:rsid w:val="00235B2F"/>
    <w:rsid w:val="007312BF"/>
    <w:rsid w:val="00D52458"/>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DA0F"/>
  <w15:chartTrackingRefBased/>
  <w15:docId w15:val="{1B46294D-41B6-4A1D-B51B-3D903D05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52458"/>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52458"/>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5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7/rr/pdfs/rr670-H.pdf" TargetMode="External"/><Relationship Id="rId13" Type="http://schemas.openxmlformats.org/officeDocument/2006/relationships/hyperlink" Target="http://www.cdc.gov/vaccines/schedules/downloads/child/0-18yrs-child-combined-schedule.pdf" TargetMode="External"/><Relationship Id="rId18" Type="http://schemas.openxmlformats.org/officeDocument/2006/relationships/hyperlink" Target="http://www.cdc.gov/vaccines/schedules/hcp/adul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cdc.gov/travel" TargetMode="External"/><Relationship Id="rId12" Type="http://schemas.openxmlformats.org/officeDocument/2006/relationships/oleObject" Target="embeddings/oleObject1.bin"/><Relationship Id="rId17" Type="http://schemas.openxmlformats.org/officeDocument/2006/relationships/hyperlink" Target="http://www.cdc.gov/vaccines/schedules/hcp/child-adolescent.html"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immunize.org/catg.d/p2017.pdf" TargetMode="External"/><Relationship Id="rId20" Type="http://schemas.openxmlformats.org/officeDocument/2006/relationships/hyperlink" Target="https://wwwnc.cdc.gov/travel/yellowbook/2018/infectious-diseases-related-to-travel/hepatitis-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cdc.gov/vaccines/programs/vfc/downloads/resolutions/2017-02-01-hepb.pdf" TargetMode="External"/><Relationship Id="rId23" Type="http://schemas.openxmlformats.org/officeDocument/2006/relationships/customXml" Target="../customXml/item1.xml"/><Relationship Id="rId10" Type="http://schemas.openxmlformats.org/officeDocument/2006/relationships/hyperlink" Target="https://www.cdc.gov/mmwr/volumes/67/rr/pdfs/rr6701-H.pdf" TargetMode="External"/><Relationship Id="rId19" Type="http://schemas.openxmlformats.org/officeDocument/2006/relationships/hyperlink" Target="https://www.cdc.gov/vaccines/pubs/pinkbook/hepb.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mmunize.org/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1619F598-41A0-4FD1-BC45-633B8D655153}"/>
</file>

<file path=customXml/itemProps2.xml><?xml version="1.0" encoding="utf-8"?>
<ds:datastoreItem xmlns:ds="http://schemas.openxmlformats.org/officeDocument/2006/customXml" ds:itemID="{AC757282-CF96-4961-81C4-E2F2D7D8B724}"/>
</file>

<file path=customXml/itemProps3.xml><?xml version="1.0" encoding="utf-8"?>
<ds:datastoreItem xmlns:ds="http://schemas.openxmlformats.org/officeDocument/2006/customXml" ds:itemID="{23951CA9-ECCD-4255-B903-D883D1566F8E}"/>
</file>

<file path=docProps/app.xml><?xml version="1.0" encoding="utf-8"?>
<Properties xmlns="http://schemas.openxmlformats.org/officeDocument/2006/extended-properties" xmlns:vt="http://schemas.openxmlformats.org/officeDocument/2006/docPropsVTypes">
  <Template>Normal</Template>
  <TotalTime>9</TotalTime>
  <Pages>15</Pages>
  <Words>3864</Words>
  <Characters>22025</Characters>
  <Application>Microsoft Office Word</Application>
  <DocSecurity>0</DocSecurity>
  <Lines>183</Lines>
  <Paragraphs>51</Paragraphs>
  <ScaleCrop>false</ScaleCrop>
  <Company>Commonwealth of Kentucky</Company>
  <LinksUpToDate>false</LinksUpToDate>
  <CharactersWithSpaces>25838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(K) - HepB (ENGERIX-B and RECOMBIVAX HB)</dc:title>
  <dc:subject/>
  <dc:creator>Cunningham, Troi (CHFS PH EPI)</dc:creator>
  <cp:keywords/>
  <dc:description/>
  <cp:lastModifiedBy>Cunningham, Troi (CHFS PH EPI)</cp:lastModifiedBy>
  <cp:revision>2</cp:revision>
  <dcterms:created xsi:type="dcterms:W3CDTF">2018-06-29T17:01:00Z</dcterms:created>
  <dcterms:modified xsi:type="dcterms:W3CDTF">2018-06-29T17:12:00Z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