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CE" w:rsidRPr="002D3E3D" w:rsidRDefault="003A29CE" w:rsidP="003A29CE">
      <w:pPr>
        <w:widowControl w:val="0"/>
        <w:jc w:val="center"/>
        <w:rPr>
          <w:b/>
        </w:rPr>
      </w:pPr>
      <w:proofErr w:type="spellStart"/>
      <w:r w:rsidRPr="002D3E3D">
        <w:rPr>
          <w:b/>
          <w:i/>
          <w:sz w:val="28"/>
          <w:szCs w:val="28"/>
        </w:rPr>
        <w:t>Haemophilus</w:t>
      </w:r>
      <w:proofErr w:type="spellEnd"/>
      <w:r w:rsidRPr="002D3E3D">
        <w:rPr>
          <w:b/>
          <w:sz w:val="28"/>
          <w:szCs w:val="28"/>
        </w:rPr>
        <w:t xml:space="preserve"> </w:t>
      </w:r>
      <w:proofErr w:type="spellStart"/>
      <w:r w:rsidRPr="002D3E3D">
        <w:rPr>
          <w:b/>
          <w:i/>
          <w:sz w:val="28"/>
          <w:szCs w:val="28"/>
        </w:rPr>
        <w:t>influenzae</w:t>
      </w:r>
      <w:proofErr w:type="spellEnd"/>
      <w:r w:rsidRPr="002D3E3D">
        <w:rPr>
          <w:b/>
          <w:sz w:val="28"/>
          <w:szCs w:val="28"/>
        </w:rPr>
        <w:t xml:space="preserve"> Type b (Hib) Conjugate Vaccine</w:t>
      </w:r>
      <w:r w:rsidRPr="002D3E3D">
        <w:rPr>
          <w:b/>
        </w:rPr>
        <w:t xml:space="preserve"> </w:t>
      </w:r>
    </w:p>
    <w:p w:rsidR="003A29CE" w:rsidRDefault="003A29CE" w:rsidP="003A29CE">
      <w:pPr>
        <w:autoSpaceDE w:val="0"/>
        <w:autoSpaceDN w:val="0"/>
        <w:adjustRightInd w:val="0"/>
      </w:pPr>
    </w:p>
    <w:p w:rsidR="003A29CE" w:rsidRDefault="003A29CE" w:rsidP="003A29CE">
      <w:pPr>
        <w:autoSpaceDE w:val="0"/>
        <w:autoSpaceDN w:val="0"/>
        <w:adjustRightInd w:val="0"/>
        <w:spacing w:after="40"/>
        <w:rPr>
          <w:b/>
          <w:u w:val="single"/>
        </w:rPr>
      </w:pPr>
      <w:r>
        <w:rPr>
          <w:b/>
          <w:u w:val="single"/>
        </w:rPr>
        <w:t>Precautions and Contraindications</w:t>
      </w:r>
    </w:p>
    <w:p w:rsidR="003A29CE" w:rsidRDefault="003A29CE" w:rsidP="003A29CE">
      <w:pPr>
        <w:autoSpaceDE w:val="0"/>
        <w:autoSpaceDN w:val="0"/>
        <w:adjustRightInd w:val="0"/>
      </w:pPr>
      <w:r>
        <w:t>Screen all patients for precautions and contraindications to immunizations.</w:t>
      </w:r>
    </w:p>
    <w:p w:rsidR="003A29CE" w:rsidRDefault="003A29CE" w:rsidP="003A29CE">
      <w:pPr>
        <w:autoSpaceDE w:val="0"/>
        <w:autoSpaceDN w:val="0"/>
        <w:adjustRightInd w:val="0"/>
        <w:rPr>
          <w:b/>
        </w:rPr>
      </w:pPr>
    </w:p>
    <w:p w:rsidR="003A29CE" w:rsidRPr="00E21BBD" w:rsidRDefault="003A29CE" w:rsidP="003A29CE">
      <w:pPr>
        <w:autoSpaceDE w:val="0"/>
        <w:autoSpaceDN w:val="0"/>
        <w:adjustRightInd w:val="0"/>
        <w:spacing w:after="120"/>
        <w:rPr>
          <w:b/>
          <w:u w:val="single"/>
        </w:rPr>
      </w:pPr>
      <w:r w:rsidRPr="00E21BBD">
        <w:rPr>
          <w:b/>
          <w:u w:val="single"/>
        </w:rPr>
        <w:t>Vaccine Information Statements</w:t>
      </w:r>
    </w:p>
    <w:p w:rsidR="003A29CE" w:rsidRDefault="003A29CE" w:rsidP="003A29CE">
      <w:pPr>
        <w:autoSpaceDE w:val="0"/>
        <w:autoSpaceDN w:val="0"/>
        <w:adjustRightInd w:val="0"/>
      </w:pPr>
      <w:r w:rsidRPr="007E4199">
        <w:t xml:space="preserve">Provide all patients with a copy of the most current federal Vaccine Information Statement (VIS).  Provide </w:t>
      </w:r>
      <w:r>
        <w:t xml:space="preserve">a </w:t>
      </w:r>
      <w:r w:rsidRPr="007E4199">
        <w:t xml:space="preserve">non-English speaking patient with a copy of the VIS in their native language, if one is available and desired; these </w:t>
      </w:r>
      <w:r>
        <w:t xml:space="preserve">VISs </w:t>
      </w:r>
      <w:proofErr w:type="gramStart"/>
      <w:r w:rsidRPr="007E4199">
        <w:t>can be found</w:t>
      </w:r>
      <w:proofErr w:type="gramEnd"/>
      <w:r w:rsidRPr="007E4199">
        <w:t xml:space="preserve"> at </w:t>
      </w:r>
      <w:hyperlink r:id="rId7" w:history="1">
        <w:r w:rsidRPr="007E4199">
          <w:rPr>
            <w:color w:val="0000FF"/>
            <w:u w:val="single"/>
          </w:rPr>
          <w:t>http://www.immunize.org/vis</w:t>
        </w:r>
      </w:hyperlink>
      <w:r w:rsidRPr="007E4199">
        <w:t>.</w:t>
      </w:r>
    </w:p>
    <w:p w:rsidR="003A29CE" w:rsidRDefault="003A29CE" w:rsidP="003A29CE">
      <w:pPr>
        <w:autoSpaceDE w:val="0"/>
        <w:autoSpaceDN w:val="0"/>
        <w:adjustRightInd w:val="0"/>
      </w:pPr>
    </w:p>
    <w:p w:rsidR="003A29CE" w:rsidRPr="00E21BBD" w:rsidRDefault="003A29CE" w:rsidP="003A29CE">
      <w:pPr>
        <w:autoSpaceDE w:val="0"/>
        <w:autoSpaceDN w:val="0"/>
        <w:adjustRightInd w:val="0"/>
        <w:spacing w:after="120"/>
        <w:rPr>
          <w:b/>
          <w:u w:val="single"/>
        </w:rPr>
      </w:pPr>
      <w:r w:rsidRPr="00E21BBD">
        <w:rPr>
          <w:b/>
          <w:u w:val="single"/>
        </w:rPr>
        <w:t xml:space="preserve">FDA Approved Indications and Usage (See Package Insert for </w:t>
      </w:r>
      <w:proofErr w:type="spellStart"/>
      <w:r w:rsidRPr="00E21BBD">
        <w:rPr>
          <w:b/>
          <w:u w:val="single"/>
        </w:rPr>
        <w:t>ActHIB</w:t>
      </w:r>
      <w:proofErr w:type="spellEnd"/>
      <w:r w:rsidRPr="00E21BBD">
        <w:rPr>
          <w:rFonts w:ascii="Times New Roman Bold" w:hAnsi="Times New Roman Bold"/>
          <w:b/>
          <w:u w:val="single"/>
          <w:vertAlign w:val="superscript"/>
        </w:rPr>
        <w:t>®</w:t>
      </w:r>
      <w:r w:rsidRPr="00E21BBD">
        <w:rPr>
          <w:b/>
          <w:u w:val="single"/>
        </w:rPr>
        <w:t>, current version dated 12/2015</w:t>
      </w:r>
    </w:p>
    <w:p w:rsidR="003A29CE" w:rsidRDefault="003A29CE" w:rsidP="003A29CE">
      <w:pPr>
        <w:pStyle w:val="ListParagraph"/>
        <w:numPr>
          <w:ilvl w:val="0"/>
          <w:numId w:val="11"/>
        </w:numPr>
        <w:autoSpaceDE w:val="0"/>
        <w:autoSpaceDN w:val="0"/>
        <w:adjustRightInd w:val="0"/>
      </w:pPr>
      <w:proofErr w:type="spellStart"/>
      <w:r w:rsidRPr="003A29CE">
        <w:rPr>
          <w:b/>
        </w:rPr>
        <w:t>ActHIB</w:t>
      </w:r>
      <w:proofErr w:type="spellEnd"/>
      <w:r w:rsidRPr="003A29CE">
        <w:rPr>
          <w:vertAlign w:val="superscript"/>
        </w:rPr>
        <w:t>®</w:t>
      </w:r>
      <w:r>
        <w:t xml:space="preserve"> is a vaccine indicated for the prevention of invasive disease caused by </w:t>
      </w:r>
      <w:proofErr w:type="spellStart"/>
      <w:r w:rsidRPr="00E21BBD">
        <w:rPr>
          <w:i/>
        </w:rPr>
        <w:t>Haemophilus</w:t>
      </w:r>
      <w:proofErr w:type="spellEnd"/>
      <w:r w:rsidRPr="00E21BBD">
        <w:rPr>
          <w:i/>
        </w:rPr>
        <w:t xml:space="preserve"> influenza</w:t>
      </w:r>
      <w:r>
        <w:t xml:space="preserve"> type b.  </w:t>
      </w:r>
      <w:proofErr w:type="spellStart"/>
      <w:r w:rsidRPr="003A29CE">
        <w:rPr>
          <w:b/>
        </w:rPr>
        <w:t>ActHIB</w:t>
      </w:r>
      <w:proofErr w:type="spellEnd"/>
      <w:r w:rsidRPr="003A29CE">
        <w:rPr>
          <w:vertAlign w:val="superscript"/>
        </w:rPr>
        <w:t>®</w:t>
      </w:r>
      <w:r>
        <w:t xml:space="preserve"> vaccine </w:t>
      </w:r>
      <w:proofErr w:type="gramStart"/>
      <w:r>
        <w:t>is approved</w:t>
      </w:r>
      <w:proofErr w:type="gramEnd"/>
      <w:r>
        <w:t xml:space="preserve"> for use as a four-dose series in infants and children 2 months through 5 years of age.</w:t>
      </w:r>
    </w:p>
    <w:p w:rsidR="003A29CE" w:rsidRDefault="003A29CE" w:rsidP="003A29CE">
      <w:pPr>
        <w:autoSpaceDE w:val="0"/>
        <w:autoSpaceDN w:val="0"/>
        <w:adjustRightInd w:val="0"/>
      </w:pPr>
    </w:p>
    <w:p w:rsidR="003A29CE" w:rsidRPr="00E21BBD" w:rsidRDefault="003A29CE" w:rsidP="003A29CE">
      <w:pPr>
        <w:autoSpaceDE w:val="0"/>
        <w:autoSpaceDN w:val="0"/>
        <w:adjustRightInd w:val="0"/>
        <w:spacing w:after="120"/>
        <w:rPr>
          <w:b/>
          <w:u w:val="single"/>
        </w:rPr>
      </w:pPr>
      <w:r w:rsidRPr="00E21BBD">
        <w:rPr>
          <w:b/>
          <w:u w:val="single"/>
        </w:rPr>
        <w:t xml:space="preserve">FDA Approved Indications and Usage (See Package Insert for </w:t>
      </w:r>
      <w:proofErr w:type="spellStart"/>
      <w:r w:rsidRPr="00E21BBD">
        <w:rPr>
          <w:b/>
          <w:u w:val="single"/>
        </w:rPr>
        <w:t>PedvaxHIB</w:t>
      </w:r>
      <w:proofErr w:type="spellEnd"/>
      <w:r w:rsidRPr="00E21BBD">
        <w:rPr>
          <w:rFonts w:ascii="Times New Roman Bold" w:hAnsi="Times New Roman Bold"/>
          <w:b/>
          <w:u w:val="single"/>
          <w:vertAlign w:val="superscript"/>
        </w:rPr>
        <w:t>®</w:t>
      </w:r>
      <w:r w:rsidRPr="00E21BBD">
        <w:rPr>
          <w:b/>
          <w:u w:val="single"/>
        </w:rPr>
        <w:t>, current version dated 12/2010</w:t>
      </w:r>
    </w:p>
    <w:p w:rsidR="003A29CE" w:rsidRPr="002D5E2B" w:rsidRDefault="003A29CE" w:rsidP="003A29CE">
      <w:pPr>
        <w:pStyle w:val="ListParagraph"/>
        <w:numPr>
          <w:ilvl w:val="0"/>
          <w:numId w:val="11"/>
        </w:numPr>
        <w:autoSpaceDE w:val="0"/>
        <w:autoSpaceDN w:val="0"/>
        <w:adjustRightInd w:val="0"/>
        <w:rPr>
          <w:b/>
          <w:szCs w:val="24"/>
          <w:u w:val="single"/>
        </w:rPr>
      </w:pPr>
      <w:proofErr w:type="spellStart"/>
      <w:r w:rsidRPr="003A29CE">
        <w:rPr>
          <w:b/>
        </w:rPr>
        <w:t>PedvaxHIB</w:t>
      </w:r>
      <w:proofErr w:type="spellEnd"/>
      <w:r>
        <w:rPr>
          <w:vertAlign w:val="superscript"/>
        </w:rPr>
        <w:t>®</w:t>
      </w:r>
      <w:r>
        <w:t xml:space="preserve"> </w:t>
      </w:r>
      <w:proofErr w:type="gramStart"/>
      <w:r>
        <w:t>is indicated</w:t>
      </w:r>
      <w:proofErr w:type="gramEnd"/>
      <w:r>
        <w:t xml:space="preserve"> for routine vaccination against invasive disease caused by </w:t>
      </w:r>
      <w:proofErr w:type="spellStart"/>
      <w:r w:rsidRPr="00E21BBD">
        <w:rPr>
          <w:i/>
        </w:rPr>
        <w:t>Haemophilus</w:t>
      </w:r>
      <w:proofErr w:type="spellEnd"/>
      <w:r w:rsidRPr="00E21BBD">
        <w:rPr>
          <w:i/>
        </w:rPr>
        <w:t xml:space="preserve"> influenza </w:t>
      </w:r>
      <w:r>
        <w:t xml:space="preserve">type b in infants and children 2 to 71 months of age.  </w:t>
      </w:r>
    </w:p>
    <w:p w:rsidR="003A29CE" w:rsidRDefault="003A29CE" w:rsidP="003A29CE">
      <w:pPr>
        <w:autoSpaceDE w:val="0"/>
        <w:autoSpaceDN w:val="0"/>
        <w:adjustRightInd w:val="0"/>
        <w:rPr>
          <w:b/>
          <w:szCs w:val="24"/>
          <w:u w:val="single"/>
        </w:rPr>
      </w:pPr>
    </w:p>
    <w:p w:rsidR="003A29CE" w:rsidRDefault="003A29CE" w:rsidP="003A29CE">
      <w:pPr>
        <w:autoSpaceDE w:val="0"/>
        <w:autoSpaceDN w:val="0"/>
        <w:adjustRightInd w:val="0"/>
        <w:spacing w:after="120"/>
        <w:rPr>
          <w:b/>
          <w:szCs w:val="24"/>
          <w:u w:val="single"/>
        </w:rPr>
      </w:pPr>
      <w:r>
        <w:rPr>
          <w:b/>
          <w:szCs w:val="24"/>
          <w:u w:val="single"/>
        </w:rPr>
        <w:t>Recommended Schedule</w:t>
      </w:r>
    </w:p>
    <w:p w:rsidR="003A29CE" w:rsidRDefault="003A29CE" w:rsidP="003A29CE">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rPr>
          <w:b/>
        </w:rPr>
      </w:pPr>
      <w:proofErr w:type="spellStart"/>
      <w:r>
        <w:rPr>
          <w:b/>
        </w:rPr>
        <w:t>ActHIB</w:t>
      </w:r>
      <w:proofErr w:type="spellEnd"/>
      <w:r w:rsidRPr="003A29CE">
        <w:rPr>
          <w:b/>
          <w:vertAlign w:val="superscript"/>
        </w:rPr>
        <w:t>®</w:t>
      </w:r>
      <w:r w:rsidRPr="003A29CE">
        <w:rPr>
          <w:b/>
          <w:vertAlign w:val="superscript"/>
        </w:rPr>
        <w:t xml:space="preserve"> </w:t>
      </w:r>
      <w:r>
        <w:rPr>
          <w:b/>
        </w:rPr>
        <w:t xml:space="preserve">(PRP-T) </w:t>
      </w:r>
    </w:p>
    <w:p w:rsidR="003A29CE" w:rsidRDefault="003A29CE" w:rsidP="003A29CE">
      <w:pPr>
        <w:keepNext/>
        <w:spacing w:after="120"/>
        <w:ind w:left="547"/>
        <w:outlineLvl w:val="1"/>
        <w:rPr>
          <w:b/>
          <w:bCs/>
        </w:rPr>
      </w:pPr>
      <w:r>
        <w:rPr>
          <w:b/>
          <w:bCs/>
        </w:rPr>
        <w:t xml:space="preserve">Hib Vaccine Schedule for </w:t>
      </w:r>
      <w:r>
        <w:rPr>
          <w:rFonts w:ascii="Times New Roman Bold" w:hAnsi="Times New Roman Bold"/>
          <w:b/>
          <w:bCs/>
          <w:szCs w:val="24"/>
        </w:rPr>
        <w:t xml:space="preserve">Unimmunized </w:t>
      </w:r>
      <w:r>
        <w:rPr>
          <w:b/>
          <w:bCs/>
        </w:rPr>
        <w:t xml:space="preserve">Children </w:t>
      </w:r>
      <w:proofErr w:type="gramStart"/>
      <w:r>
        <w:rPr>
          <w:b/>
          <w:bCs/>
        </w:rPr>
        <w:t>Without</w:t>
      </w:r>
      <w:proofErr w:type="gramEnd"/>
      <w:r>
        <w:rPr>
          <w:b/>
          <w:bCs/>
        </w:rPr>
        <w:t xml:space="preserve"> Any Previous Doses</w:t>
      </w:r>
    </w:p>
    <w:tbl>
      <w:tblPr>
        <w:tblW w:w="9180" w:type="dxa"/>
        <w:tblInd w:w="19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2266"/>
        <w:gridCol w:w="828"/>
        <w:gridCol w:w="2306"/>
        <w:gridCol w:w="6"/>
        <w:gridCol w:w="3774"/>
      </w:tblGrid>
      <w:tr w:rsidR="003A29CE" w:rsidRPr="00907BE1" w:rsidTr="00761C75">
        <w:tc>
          <w:tcPr>
            <w:tcW w:w="2266" w:type="dxa"/>
            <w:tcBorders>
              <w:top w:val="double" w:sz="6" w:space="0" w:color="000000"/>
              <w:left w:val="double" w:sz="6" w:space="0" w:color="000000"/>
              <w:bottom w:val="single" w:sz="4" w:space="0" w:color="auto"/>
              <w:right w:val="single" w:sz="4" w:space="0" w:color="auto"/>
            </w:tcBorders>
            <w:vAlign w:val="center"/>
            <w:hideMark/>
          </w:tcPr>
          <w:p w:rsidR="003A29CE" w:rsidRDefault="003A29CE" w:rsidP="00761C75">
            <w:pPr>
              <w:spacing w:before="60" w:after="60" w:line="276" w:lineRule="auto"/>
              <w:rPr>
                <w:b/>
                <w:sz w:val="20"/>
              </w:rPr>
            </w:pPr>
            <w:r>
              <w:rPr>
                <w:b/>
                <w:sz w:val="20"/>
              </w:rPr>
              <w:t>Age Receiving 1</w:t>
            </w:r>
            <w:r>
              <w:rPr>
                <w:b/>
                <w:sz w:val="20"/>
                <w:vertAlign w:val="superscript"/>
              </w:rPr>
              <w:t>st</w:t>
            </w:r>
            <w:r>
              <w:rPr>
                <w:b/>
                <w:sz w:val="20"/>
              </w:rPr>
              <w:t xml:space="preserve"> Dose</w:t>
            </w:r>
          </w:p>
        </w:tc>
        <w:tc>
          <w:tcPr>
            <w:tcW w:w="828" w:type="dxa"/>
            <w:tcBorders>
              <w:top w:val="double" w:sz="6" w:space="0" w:color="000000"/>
              <w:left w:val="single" w:sz="4" w:space="0" w:color="auto"/>
              <w:bottom w:val="single" w:sz="4" w:space="0" w:color="auto"/>
              <w:right w:val="single" w:sz="4" w:space="0" w:color="auto"/>
            </w:tcBorders>
            <w:vAlign w:val="center"/>
            <w:hideMark/>
          </w:tcPr>
          <w:p w:rsidR="003A29CE" w:rsidRDefault="003A29CE" w:rsidP="00761C75">
            <w:pPr>
              <w:keepNext/>
              <w:spacing w:line="276" w:lineRule="auto"/>
              <w:jc w:val="center"/>
              <w:outlineLvl w:val="6"/>
              <w:rPr>
                <w:b/>
                <w:bCs/>
                <w:sz w:val="20"/>
              </w:rPr>
            </w:pPr>
            <w:r>
              <w:rPr>
                <w:b/>
                <w:bCs/>
                <w:sz w:val="20"/>
              </w:rPr>
              <w:t>Dose</w:t>
            </w:r>
          </w:p>
        </w:tc>
        <w:tc>
          <w:tcPr>
            <w:tcW w:w="2312" w:type="dxa"/>
            <w:gridSpan w:val="2"/>
            <w:tcBorders>
              <w:top w:val="double" w:sz="6" w:space="0" w:color="000000"/>
              <w:left w:val="single" w:sz="4" w:space="0" w:color="auto"/>
              <w:bottom w:val="single" w:sz="4" w:space="0" w:color="auto"/>
              <w:right w:val="single" w:sz="4" w:space="0" w:color="auto"/>
            </w:tcBorders>
            <w:vAlign w:val="center"/>
            <w:hideMark/>
          </w:tcPr>
          <w:p w:rsidR="003A29CE" w:rsidRDefault="003A29CE" w:rsidP="00761C75">
            <w:pPr>
              <w:keepNext/>
              <w:spacing w:line="276" w:lineRule="auto"/>
              <w:jc w:val="center"/>
              <w:outlineLvl w:val="6"/>
              <w:rPr>
                <w:b/>
                <w:bCs/>
                <w:sz w:val="20"/>
              </w:rPr>
            </w:pPr>
            <w:r>
              <w:rPr>
                <w:b/>
                <w:bCs/>
                <w:sz w:val="20"/>
              </w:rPr>
              <w:t>Recommended Age</w:t>
            </w:r>
          </w:p>
        </w:tc>
        <w:tc>
          <w:tcPr>
            <w:tcW w:w="3774" w:type="dxa"/>
            <w:tcBorders>
              <w:top w:val="double" w:sz="6" w:space="0" w:color="000000"/>
              <w:left w:val="single" w:sz="4" w:space="0" w:color="auto"/>
              <w:bottom w:val="single" w:sz="4" w:space="0" w:color="auto"/>
              <w:right w:val="double" w:sz="6" w:space="0" w:color="000000"/>
            </w:tcBorders>
            <w:vAlign w:val="center"/>
            <w:hideMark/>
          </w:tcPr>
          <w:p w:rsidR="003A29CE" w:rsidRDefault="003A29CE" w:rsidP="00761C75">
            <w:pPr>
              <w:keepNext/>
              <w:spacing w:line="276" w:lineRule="auto"/>
              <w:jc w:val="center"/>
              <w:outlineLvl w:val="6"/>
              <w:rPr>
                <w:b/>
                <w:bCs/>
                <w:sz w:val="20"/>
              </w:rPr>
            </w:pPr>
            <w:r>
              <w:rPr>
                <w:b/>
                <w:bCs/>
                <w:sz w:val="20"/>
              </w:rPr>
              <w:t>Accelerated Schedule</w:t>
            </w:r>
          </w:p>
        </w:tc>
      </w:tr>
      <w:tr w:rsidR="003A29CE" w:rsidRPr="00907BE1" w:rsidTr="00761C75">
        <w:trPr>
          <w:cantSplit/>
          <w:trHeight w:val="95"/>
        </w:trPr>
        <w:tc>
          <w:tcPr>
            <w:tcW w:w="2266" w:type="dxa"/>
            <w:vMerge w:val="restart"/>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spacing w:line="276" w:lineRule="auto"/>
              <w:rPr>
                <w:sz w:val="20"/>
              </w:rPr>
            </w:pPr>
            <w:r>
              <w:rPr>
                <w:sz w:val="20"/>
              </w:rPr>
              <w:t>0 – 6 months</w:t>
            </w:r>
          </w:p>
        </w:tc>
        <w:tc>
          <w:tcPr>
            <w:tcW w:w="82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1</w:t>
            </w:r>
            <w:r>
              <w:rPr>
                <w:sz w:val="20"/>
                <w:vertAlign w:val="superscript"/>
              </w:rPr>
              <w:t>1</w:t>
            </w:r>
          </w:p>
        </w:tc>
        <w:tc>
          <w:tcPr>
            <w:tcW w:w="2312" w:type="dxa"/>
            <w:gridSpan w:val="2"/>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2 months</w:t>
            </w:r>
          </w:p>
        </w:tc>
        <w:tc>
          <w:tcPr>
            <w:tcW w:w="3774"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spacing w:before="40" w:after="40" w:line="276" w:lineRule="auto"/>
              <w:jc w:val="center"/>
              <w:rPr>
                <w:sz w:val="20"/>
              </w:rPr>
            </w:pPr>
            <w:r>
              <w:rPr>
                <w:sz w:val="20"/>
                <w:u w:val="single"/>
              </w:rPr>
              <w:t>&gt;</w:t>
            </w:r>
            <w:r>
              <w:rPr>
                <w:sz w:val="20"/>
              </w:rPr>
              <w:t xml:space="preserve"> 6 weeks of age</w:t>
            </w:r>
          </w:p>
        </w:tc>
      </w:tr>
      <w:tr w:rsidR="003A29CE" w:rsidRPr="00907BE1" w:rsidTr="00761C75">
        <w:trPr>
          <w:cantSplit/>
          <w:trHeight w:val="95"/>
        </w:trPr>
        <w:tc>
          <w:tcPr>
            <w:tcW w:w="2266" w:type="dxa"/>
            <w:vMerge/>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rPr>
                <w:sz w:val="20"/>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2</w:t>
            </w:r>
            <w:r>
              <w:rPr>
                <w:sz w:val="20"/>
                <w:vertAlign w:val="superscript"/>
              </w:rPr>
              <w:t>1</w:t>
            </w:r>
          </w:p>
        </w:tc>
        <w:tc>
          <w:tcPr>
            <w:tcW w:w="2312" w:type="dxa"/>
            <w:gridSpan w:val="2"/>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4 months</w:t>
            </w:r>
          </w:p>
        </w:tc>
        <w:tc>
          <w:tcPr>
            <w:tcW w:w="3774"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spacing w:before="40" w:after="40" w:line="276" w:lineRule="auto"/>
              <w:jc w:val="center"/>
              <w:rPr>
                <w:sz w:val="20"/>
              </w:rPr>
            </w:pPr>
            <w:r>
              <w:rPr>
                <w:sz w:val="20"/>
                <w:u w:val="single"/>
              </w:rPr>
              <w:t>&gt;</w:t>
            </w:r>
            <w:r>
              <w:rPr>
                <w:sz w:val="20"/>
              </w:rPr>
              <w:t xml:space="preserve"> 1 month after dose #1</w:t>
            </w:r>
          </w:p>
        </w:tc>
      </w:tr>
      <w:tr w:rsidR="003A29CE" w:rsidRPr="00907BE1" w:rsidTr="00761C75">
        <w:trPr>
          <w:cantSplit/>
          <w:trHeight w:val="143"/>
        </w:trPr>
        <w:tc>
          <w:tcPr>
            <w:tcW w:w="2266" w:type="dxa"/>
            <w:vMerge/>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rPr>
                <w:sz w:val="20"/>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spacing w:before="40" w:after="40" w:line="276" w:lineRule="auto"/>
              <w:jc w:val="center"/>
              <w:rPr>
                <w:sz w:val="20"/>
              </w:rPr>
            </w:pPr>
            <w:r>
              <w:rPr>
                <w:sz w:val="20"/>
              </w:rPr>
              <w:t>3</w:t>
            </w:r>
            <w:r>
              <w:rPr>
                <w:sz w:val="20"/>
                <w:vertAlign w:val="superscript"/>
              </w:rPr>
              <w:t>1</w:t>
            </w:r>
          </w:p>
        </w:tc>
        <w:tc>
          <w:tcPr>
            <w:tcW w:w="2306"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spacing w:before="40" w:after="40" w:line="276" w:lineRule="auto"/>
              <w:jc w:val="center"/>
              <w:rPr>
                <w:sz w:val="20"/>
              </w:rPr>
            </w:pPr>
            <w:r>
              <w:rPr>
                <w:sz w:val="20"/>
              </w:rPr>
              <w:t>6 months</w:t>
            </w:r>
          </w:p>
        </w:tc>
        <w:tc>
          <w:tcPr>
            <w:tcW w:w="3780" w:type="dxa"/>
            <w:gridSpan w:val="2"/>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widowControl w:val="0"/>
              <w:spacing w:before="40" w:after="40" w:line="276" w:lineRule="auto"/>
              <w:jc w:val="center"/>
              <w:rPr>
                <w:sz w:val="20"/>
              </w:rPr>
            </w:pPr>
            <w:r>
              <w:rPr>
                <w:sz w:val="20"/>
                <w:u w:val="single"/>
              </w:rPr>
              <w:t>&gt;</w:t>
            </w:r>
            <w:r>
              <w:rPr>
                <w:sz w:val="20"/>
              </w:rPr>
              <w:t xml:space="preserve"> 1 month after dose #2</w:t>
            </w:r>
          </w:p>
        </w:tc>
      </w:tr>
      <w:tr w:rsidR="003A29CE" w:rsidRPr="00907BE1" w:rsidTr="00761C75">
        <w:trPr>
          <w:cantSplit/>
          <w:trHeight w:val="142"/>
        </w:trPr>
        <w:tc>
          <w:tcPr>
            <w:tcW w:w="2266" w:type="dxa"/>
            <w:vMerge/>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rPr>
                <w:sz w:val="20"/>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spacing w:before="40" w:after="40" w:line="276" w:lineRule="auto"/>
              <w:jc w:val="center"/>
              <w:rPr>
                <w:sz w:val="20"/>
              </w:rPr>
            </w:pPr>
            <w:r>
              <w:rPr>
                <w:sz w:val="20"/>
              </w:rPr>
              <w:t>4</w:t>
            </w:r>
          </w:p>
        </w:tc>
        <w:tc>
          <w:tcPr>
            <w:tcW w:w="2306"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spacing w:before="40" w:after="40" w:line="276" w:lineRule="auto"/>
              <w:jc w:val="center"/>
              <w:rPr>
                <w:sz w:val="20"/>
              </w:rPr>
            </w:pPr>
            <w:r>
              <w:rPr>
                <w:sz w:val="20"/>
              </w:rPr>
              <w:t>12 through 15 months</w:t>
            </w:r>
          </w:p>
        </w:tc>
        <w:tc>
          <w:tcPr>
            <w:tcW w:w="3780" w:type="dxa"/>
            <w:gridSpan w:val="2"/>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widowControl w:val="0"/>
              <w:spacing w:before="40" w:after="40" w:line="276" w:lineRule="auto"/>
              <w:jc w:val="center"/>
              <w:rPr>
                <w:sz w:val="20"/>
              </w:rPr>
            </w:pPr>
            <w:r>
              <w:rPr>
                <w:sz w:val="20"/>
                <w:u w:val="single"/>
              </w:rPr>
              <w:t>&gt;</w:t>
            </w:r>
            <w:r>
              <w:rPr>
                <w:sz w:val="20"/>
              </w:rPr>
              <w:t xml:space="preserve"> 2 months after previous dose and </w:t>
            </w:r>
          </w:p>
          <w:p w:rsidR="003A29CE" w:rsidRDefault="003A29CE" w:rsidP="00761C75">
            <w:pPr>
              <w:widowControl w:val="0"/>
              <w:spacing w:before="40" w:after="40" w:line="276" w:lineRule="auto"/>
              <w:jc w:val="center"/>
              <w:rPr>
                <w:sz w:val="20"/>
              </w:rPr>
            </w:pPr>
            <w:r>
              <w:rPr>
                <w:sz w:val="20"/>
                <w:u w:val="single"/>
              </w:rPr>
              <w:t>&gt;</w:t>
            </w:r>
            <w:r>
              <w:rPr>
                <w:sz w:val="20"/>
              </w:rPr>
              <w:t xml:space="preserve"> 12 months of age</w:t>
            </w:r>
          </w:p>
        </w:tc>
      </w:tr>
      <w:tr w:rsidR="003A29CE" w:rsidRPr="00907BE1" w:rsidTr="00761C75">
        <w:trPr>
          <w:cantSplit/>
          <w:trHeight w:val="143"/>
        </w:trPr>
        <w:tc>
          <w:tcPr>
            <w:tcW w:w="2266" w:type="dxa"/>
            <w:vMerge w:val="restart"/>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spacing w:line="276" w:lineRule="auto"/>
              <w:rPr>
                <w:sz w:val="20"/>
              </w:rPr>
            </w:pPr>
            <w:r>
              <w:rPr>
                <w:sz w:val="20"/>
              </w:rPr>
              <w:t>7 – 11 months</w:t>
            </w:r>
          </w:p>
        </w:tc>
        <w:tc>
          <w:tcPr>
            <w:tcW w:w="82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1</w:t>
            </w:r>
            <w:r>
              <w:rPr>
                <w:sz w:val="20"/>
                <w:vertAlign w:val="superscript"/>
              </w:rPr>
              <w:t>1</w:t>
            </w:r>
          </w:p>
        </w:tc>
        <w:tc>
          <w:tcPr>
            <w:tcW w:w="2312" w:type="dxa"/>
            <w:gridSpan w:val="2"/>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w:t>
            </w:r>
          </w:p>
        </w:tc>
        <w:tc>
          <w:tcPr>
            <w:tcW w:w="3774"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spacing w:before="40" w:after="40" w:line="276" w:lineRule="auto"/>
              <w:jc w:val="center"/>
              <w:rPr>
                <w:sz w:val="20"/>
              </w:rPr>
            </w:pPr>
            <w:r>
              <w:rPr>
                <w:sz w:val="20"/>
              </w:rPr>
              <w:t>1</w:t>
            </w:r>
            <w:r>
              <w:rPr>
                <w:sz w:val="20"/>
                <w:vertAlign w:val="superscript"/>
              </w:rPr>
              <w:t>st</w:t>
            </w:r>
            <w:r>
              <w:rPr>
                <w:sz w:val="20"/>
              </w:rPr>
              <w:t xml:space="preserve"> visit</w:t>
            </w:r>
          </w:p>
        </w:tc>
      </w:tr>
      <w:tr w:rsidR="003A29CE" w:rsidRPr="00907BE1" w:rsidTr="00761C75">
        <w:trPr>
          <w:cantSplit/>
          <w:trHeight w:val="142"/>
        </w:trPr>
        <w:tc>
          <w:tcPr>
            <w:tcW w:w="2266" w:type="dxa"/>
            <w:vMerge/>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rPr>
                <w:sz w:val="20"/>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2</w:t>
            </w:r>
            <w:r>
              <w:rPr>
                <w:sz w:val="20"/>
                <w:vertAlign w:val="superscript"/>
              </w:rPr>
              <w:t>1</w:t>
            </w:r>
          </w:p>
        </w:tc>
        <w:tc>
          <w:tcPr>
            <w:tcW w:w="2312" w:type="dxa"/>
            <w:gridSpan w:val="2"/>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w:t>
            </w:r>
          </w:p>
        </w:tc>
        <w:tc>
          <w:tcPr>
            <w:tcW w:w="3774"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spacing w:before="40" w:after="40" w:line="276" w:lineRule="auto"/>
              <w:jc w:val="center"/>
              <w:rPr>
                <w:sz w:val="20"/>
              </w:rPr>
            </w:pPr>
            <w:r>
              <w:rPr>
                <w:sz w:val="20"/>
                <w:u w:val="single"/>
              </w:rPr>
              <w:t>&gt;</w:t>
            </w:r>
            <w:r>
              <w:rPr>
                <w:sz w:val="20"/>
              </w:rPr>
              <w:t xml:space="preserve"> 1 month after dose #1</w:t>
            </w:r>
          </w:p>
        </w:tc>
      </w:tr>
      <w:tr w:rsidR="003A29CE" w:rsidRPr="00907BE1" w:rsidTr="00761C75">
        <w:trPr>
          <w:cantSplit/>
          <w:trHeight w:val="142"/>
        </w:trPr>
        <w:tc>
          <w:tcPr>
            <w:tcW w:w="2266" w:type="dxa"/>
            <w:vMerge/>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rPr>
                <w:sz w:val="20"/>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3</w:t>
            </w:r>
            <w:r>
              <w:rPr>
                <w:sz w:val="20"/>
                <w:vertAlign w:val="superscript"/>
              </w:rPr>
              <w:t>1</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3A29CE" w:rsidRDefault="003A29CE" w:rsidP="00761C75">
            <w:pPr>
              <w:widowControl w:val="0"/>
              <w:spacing w:before="40" w:after="40" w:line="276" w:lineRule="auto"/>
              <w:jc w:val="center"/>
              <w:rPr>
                <w:sz w:val="20"/>
                <w:u w:val="single"/>
              </w:rPr>
            </w:pPr>
          </w:p>
          <w:p w:rsidR="003A29CE" w:rsidRDefault="003A29CE" w:rsidP="00761C75">
            <w:pPr>
              <w:widowControl w:val="0"/>
              <w:spacing w:before="40" w:after="40" w:line="276" w:lineRule="auto"/>
              <w:jc w:val="center"/>
              <w:rPr>
                <w:sz w:val="20"/>
              </w:rPr>
            </w:pPr>
            <w:r>
              <w:rPr>
                <w:sz w:val="20"/>
              </w:rPr>
              <w:t>-</w:t>
            </w:r>
          </w:p>
        </w:tc>
        <w:tc>
          <w:tcPr>
            <w:tcW w:w="3774"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widowControl w:val="0"/>
              <w:spacing w:before="40" w:after="40" w:line="276" w:lineRule="auto"/>
              <w:jc w:val="center"/>
              <w:rPr>
                <w:sz w:val="20"/>
              </w:rPr>
            </w:pPr>
            <w:r>
              <w:rPr>
                <w:sz w:val="20"/>
                <w:u w:val="single"/>
              </w:rPr>
              <w:t>&gt;</w:t>
            </w:r>
            <w:r>
              <w:rPr>
                <w:sz w:val="20"/>
              </w:rPr>
              <w:t xml:space="preserve"> 2 months after previous dose and</w:t>
            </w:r>
          </w:p>
          <w:p w:rsidR="003A29CE" w:rsidRDefault="003A29CE" w:rsidP="00761C75">
            <w:pPr>
              <w:widowControl w:val="0"/>
              <w:spacing w:before="40" w:after="40" w:line="276" w:lineRule="auto"/>
              <w:jc w:val="center"/>
              <w:rPr>
                <w:sz w:val="20"/>
              </w:rPr>
            </w:pPr>
            <w:r>
              <w:rPr>
                <w:sz w:val="20"/>
              </w:rPr>
              <w:t>between 12 through 15 months of age</w:t>
            </w:r>
          </w:p>
        </w:tc>
      </w:tr>
      <w:tr w:rsidR="003A29CE" w:rsidRPr="00907BE1" w:rsidTr="00761C75">
        <w:trPr>
          <w:cantSplit/>
          <w:trHeight w:val="143"/>
        </w:trPr>
        <w:tc>
          <w:tcPr>
            <w:tcW w:w="2266" w:type="dxa"/>
            <w:vMerge w:val="restart"/>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spacing w:line="276" w:lineRule="auto"/>
              <w:rPr>
                <w:sz w:val="20"/>
              </w:rPr>
            </w:pPr>
            <w:r>
              <w:rPr>
                <w:sz w:val="20"/>
              </w:rPr>
              <w:t>12 – 14 months</w:t>
            </w:r>
          </w:p>
        </w:tc>
        <w:tc>
          <w:tcPr>
            <w:tcW w:w="82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1</w:t>
            </w:r>
            <w:r>
              <w:rPr>
                <w:sz w:val="20"/>
                <w:vertAlign w:val="superscript"/>
              </w:rPr>
              <w:t>2</w:t>
            </w:r>
          </w:p>
        </w:tc>
        <w:tc>
          <w:tcPr>
            <w:tcW w:w="2312" w:type="dxa"/>
            <w:gridSpan w:val="2"/>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w:t>
            </w:r>
          </w:p>
        </w:tc>
        <w:tc>
          <w:tcPr>
            <w:tcW w:w="3774"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spacing w:before="40" w:after="40" w:line="276" w:lineRule="auto"/>
              <w:jc w:val="center"/>
              <w:rPr>
                <w:sz w:val="20"/>
              </w:rPr>
            </w:pPr>
            <w:r>
              <w:rPr>
                <w:sz w:val="20"/>
              </w:rPr>
              <w:t>1</w:t>
            </w:r>
            <w:r>
              <w:rPr>
                <w:sz w:val="20"/>
                <w:vertAlign w:val="superscript"/>
              </w:rPr>
              <w:t>st</w:t>
            </w:r>
            <w:r>
              <w:rPr>
                <w:sz w:val="20"/>
              </w:rPr>
              <w:t xml:space="preserve"> visit</w:t>
            </w:r>
          </w:p>
        </w:tc>
      </w:tr>
      <w:tr w:rsidR="003A29CE" w:rsidRPr="00907BE1" w:rsidTr="00761C75">
        <w:trPr>
          <w:cantSplit/>
          <w:trHeight w:val="142"/>
        </w:trPr>
        <w:tc>
          <w:tcPr>
            <w:tcW w:w="2266" w:type="dxa"/>
            <w:vMerge/>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rPr>
                <w:sz w:val="20"/>
              </w:rPr>
            </w:pPr>
          </w:p>
        </w:tc>
        <w:tc>
          <w:tcPr>
            <w:tcW w:w="82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2</w:t>
            </w:r>
            <w:r>
              <w:rPr>
                <w:sz w:val="20"/>
                <w:vertAlign w:val="superscript"/>
              </w:rPr>
              <w:t>2</w:t>
            </w:r>
          </w:p>
        </w:tc>
        <w:tc>
          <w:tcPr>
            <w:tcW w:w="2312" w:type="dxa"/>
            <w:gridSpan w:val="2"/>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spacing w:before="40" w:after="40" w:line="276" w:lineRule="auto"/>
              <w:jc w:val="center"/>
              <w:rPr>
                <w:sz w:val="20"/>
              </w:rPr>
            </w:pPr>
            <w:r>
              <w:rPr>
                <w:sz w:val="20"/>
              </w:rPr>
              <w:t>-</w:t>
            </w:r>
          </w:p>
        </w:tc>
        <w:tc>
          <w:tcPr>
            <w:tcW w:w="3774"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spacing w:before="40" w:after="40" w:line="276" w:lineRule="auto"/>
              <w:jc w:val="center"/>
              <w:rPr>
                <w:sz w:val="20"/>
              </w:rPr>
            </w:pPr>
            <w:r>
              <w:rPr>
                <w:sz w:val="20"/>
                <w:u w:val="single"/>
              </w:rPr>
              <w:t>&gt;</w:t>
            </w:r>
            <w:r>
              <w:rPr>
                <w:sz w:val="20"/>
              </w:rPr>
              <w:t xml:space="preserve"> 2 months after previous dose</w:t>
            </w:r>
          </w:p>
        </w:tc>
      </w:tr>
      <w:tr w:rsidR="003A29CE" w:rsidRPr="00907BE1" w:rsidTr="00761C75">
        <w:trPr>
          <w:cantSplit/>
          <w:trHeight w:val="142"/>
        </w:trPr>
        <w:tc>
          <w:tcPr>
            <w:tcW w:w="2266" w:type="dxa"/>
            <w:tcBorders>
              <w:top w:val="single" w:sz="4" w:space="0" w:color="auto"/>
              <w:left w:val="double" w:sz="6" w:space="0" w:color="000000"/>
              <w:bottom w:val="double" w:sz="6" w:space="0" w:color="000000"/>
              <w:right w:val="single" w:sz="4" w:space="0" w:color="auto"/>
            </w:tcBorders>
            <w:vAlign w:val="center"/>
            <w:hideMark/>
          </w:tcPr>
          <w:p w:rsidR="003A29CE" w:rsidRDefault="003A29CE" w:rsidP="00761C75">
            <w:pPr>
              <w:spacing w:line="276" w:lineRule="auto"/>
              <w:rPr>
                <w:sz w:val="20"/>
              </w:rPr>
            </w:pPr>
            <w:r>
              <w:rPr>
                <w:sz w:val="20"/>
              </w:rPr>
              <w:t>15 – 59 months</w:t>
            </w:r>
          </w:p>
        </w:tc>
        <w:tc>
          <w:tcPr>
            <w:tcW w:w="828" w:type="dxa"/>
            <w:tcBorders>
              <w:top w:val="single" w:sz="4" w:space="0" w:color="auto"/>
              <w:left w:val="single" w:sz="4" w:space="0" w:color="auto"/>
              <w:bottom w:val="double" w:sz="6" w:space="0" w:color="000000"/>
              <w:right w:val="single" w:sz="4" w:space="0" w:color="auto"/>
            </w:tcBorders>
            <w:vAlign w:val="center"/>
            <w:hideMark/>
          </w:tcPr>
          <w:p w:rsidR="003A29CE" w:rsidRDefault="003A29CE" w:rsidP="00761C75">
            <w:pPr>
              <w:spacing w:before="40" w:after="40" w:line="276" w:lineRule="auto"/>
              <w:jc w:val="center"/>
              <w:rPr>
                <w:sz w:val="20"/>
              </w:rPr>
            </w:pPr>
            <w:r>
              <w:rPr>
                <w:sz w:val="20"/>
              </w:rPr>
              <w:t>1</w:t>
            </w:r>
          </w:p>
        </w:tc>
        <w:tc>
          <w:tcPr>
            <w:tcW w:w="2312" w:type="dxa"/>
            <w:gridSpan w:val="2"/>
            <w:tcBorders>
              <w:top w:val="single" w:sz="4" w:space="0" w:color="auto"/>
              <w:left w:val="single" w:sz="4" w:space="0" w:color="auto"/>
              <w:bottom w:val="double" w:sz="6" w:space="0" w:color="000000"/>
              <w:right w:val="single" w:sz="4" w:space="0" w:color="auto"/>
            </w:tcBorders>
            <w:vAlign w:val="center"/>
            <w:hideMark/>
          </w:tcPr>
          <w:p w:rsidR="003A29CE" w:rsidRDefault="003A29CE" w:rsidP="00761C75">
            <w:pPr>
              <w:spacing w:before="40" w:after="40" w:line="276" w:lineRule="auto"/>
              <w:jc w:val="center"/>
              <w:rPr>
                <w:sz w:val="20"/>
              </w:rPr>
            </w:pPr>
            <w:r>
              <w:rPr>
                <w:sz w:val="20"/>
              </w:rPr>
              <w:t>-</w:t>
            </w:r>
          </w:p>
        </w:tc>
        <w:tc>
          <w:tcPr>
            <w:tcW w:w="3774" w:type="dxa"/>
            <w:tcBorders>
              <w:top w:val="single" w:sz="4" w:space="0" w:color="auto"/>
              <w:left w:val="single" w:sz="4" w:space="0" w:color="auto"/>
              <w:bottom w:val="double" w:sz="6" w:space="0" w:color="000000"/>
              <w:right w:val="double" w:sz="6" w:space="0" w:color="000000"/>
            </w:tcBorders>
            <w:vAlign w:val="center"/>
            <w:hideMark/>
          </w:tcPr>
          <w:p w:rsidR="003A29CE" w:rsidRDefault="003A29CE" w:rsidP="00761C75">
            <w:pPr>
              <w:spacing w:before="40" w:after="40" w:line="276" w:lineRule="auto"/>
              <w:jc w:val="center"/>
              <w:rPr>
                <w:sz w:val="20"/>
              </w:rPr>
            </w:pPr>
            <w:r>
              <w:rPr>
                <w:sz w:val="20"/>
              </w:rPr>
              <w:t>1</w:t>
            </w:r>
            <w:r>
              <w:rPr>
                <w:sz w:val="20"/>
                <w:vertAlign w:val="superscript"/>
              </w:rPr>
              <w:t>st</w:t>
            </w:r>
            <w:r>
              <w:rPr>
                <w:sz w:val="20"/>
              </w:rPr>
              <w:t xml:space="preserve"> visit</w:t>
            </w:r>
          </w:p>
        </w:tc>
      </w:tr>
    </w:tbl>
    <w:p w:rsidR="003A29CE" w:rsidRDefault="003A29CE" w:rsidP="003A29CE">
      <w:pPr>
        <w:spacing w:before="60"/>
        <w:ind w:left="144"/>
        <w:rPr>
          <w:sz w:val="18"/>
          <w:szCs w:val="18"/>
        </w:rPr>
      </w:pPr>
      <w:proofErr w:type="gramStart"/>
      <w:r>
        <w:rPr>
          <w:sz w:val="18"/>
          <w:szCs w:val="18"/>
          <w:vertAlign w:val="superscript"/>
        </w:rPr>
        <w:t xml:space="preserve">1  </w:t>
      </w:r>
      <w:r>
        <w:rPr>
          <w:sz w:val="18"/>
          <w:szCs w:val="18"/>
        </w:rPr>
        <w:t>When</w:t>
      </w:r>
      <w:proofErr w:type="gramEnd"/>
      <w:r>
        <w:rPr>
          <w:sz w:val="18"/>
          <w:szCs w:val="18"/>
        </w:rPr>
        <w:t xml:space="preserve"> feasible, use same vaccine for doses 1 – 3.</w:t>
      </w:r>
    </w:p>
    <w:p w:rsidR="003A29CE" w:rsidRDefault="003A29CE" w:rsidP="003A29CE">
      <w:pPr>
        <w:ind w:left="144"/>
        <w:rPr>
          <w:sz w:val="18"/>
          <w:szCs w:val="18"/>
        </w:rPr>
      </w:pPr>
      <w:r>
        <w:rPr>
          <w:sz w:val="18"/>
          <w:szCs w:val="18"/>
          <w:vertAlign w:val="superscript"/>
        </w:rPr>
        <w:t>2</w:t>
      </w:r>
      <w:r>
        <w:rPr>
          <w:sz w:val="18"/>
          <w:szCs w:val="18"/>
        </w:rPr>
        <w:t xml:space="preserve"> When feasible, use same vaccine for doses 1 – 2.</w:t>
      </w:r>
      <w:r w:rsidDel="007E6C74">
        <w:rPr>
          <w:sz w:val="18"/>
          <w:szCs w:val="18"/>
        </w:rPr>
        <w:t xml:space="preserve"> </w:t>
      </w:r>
    </w:p>
    <w:p w:rsidR="003A29CE" w:rsidRDefault="003A29CE" w:rsidP="003A29CE">
      <w:pPr>
        <w:ind w:left="72"/>
        <w:rPr>
          <w:b/>
        </w:rPr>
      </w:pPr>
    </w:p>
    <w:p w:rsidR="003A29CE" w:rsidRDefault="003A29CE" w:rsidP="003A29CE">
      <w:pPr>
        <w:keepNext/>
        <w:keepLines/>
        <w:ind w:left="72"/>
        <w:jc w:val="center"/>
        <w:rPr>
          <w:b/>
        </w:rPr>
      </w:pPr>
      <w:r>
        <w:rPr>
          <w:b/>
        </w:rPr>
        <w:t xml:space="preserve">Hib Vaccine Schedule (All Hib Formulations) for </w:t>
      </w:r>
      <w:proofErr w:type="gramStart"/>
      <w:r>
        <w:rPr>
          <w:b/>
        </w:rPr>
        <w:t>Partially-Immunized</w:t>
      </w:r>
      <w:proofErr w:type="gramEnd"/>
      <w:r>
        <w:rPr>
          <w:b/>
        </w:rPr>
        <w:t xml:space="preserve"> Children, </w:t>
      </w:r>
    </w:p>
    <w:p w:rsidR="003A29CE" w:rsidRDefault="003A29CE" w:rsidP="003A29CE">
      <w:pPr>
        <w:ind w:left="72"/>
        <w:jc w:val="center"/>
        <w:rPr>
          <w:b/>
        </w:rPr>
      </w:pPr>
      <w:r>
        <w:rPr>
          <w:b/>
        </w:rPr>
        <w:t>Not Up-To-Date</w:t>
      </w:r>
    </w:p>
    <w:p w:rsidR="003A29CE" w:rsidRDefault="003A29CE" w:rsidP="003A29CE">
      <w:pPr>
        <w:ind w:left="72"/>
        <w:jc w:val="center"/>
        <w:rPr>
          <w:b/>
        </w:rPr>
      </w:pPr>
    </w:p>
    <w:tbl>
      <w:tblPr>
        <w:tblW w:w="9300" w:type="dxa"/>
        <w:jc w:val="center"/>
        <w:tblBorders>
          <w:top w:val="double" w:sz="6" w:space="0" w:color="000000"/>
          <w:left w:val="double" w:sz="6" w:space="0" w:color="000000"/>
          <w:bottom w:val="double" w:sz="6" w:space="0" w:color="000000"/>
          <w:right w:val="double" w:sz="6" w:space="0" w:color="000000"/>
          <w:insideH w:val="single" w:sz="6" w:space="0" w:color="auto"/>
          <w:insideV w:val="single" w:sz="6" w:space="0" w:color="auto"/>
        </w:tblBorders>
        <w:tblLayout w:type="fixed"/>
        <w:tblLook w:val="00A0" w:firstRow="1" w:lastRow="0" w:firstColumn="1" w:lastColumn="0" w:noHBand="0" w:noVBand="0"/>
      </w:tblPr>
      <w:tblGrid>
        <w:gridCol w:w="2041"/>
        <w:gridCol w:w="3329"/>
        <w:gridCol w:w="3930"/>
      </w:tblGrid>
      <w:tr w:rsidR="003A29CE" w:rsidRPr="00907BE1" w:rsidTr="00761C75">
        <w:trPr>
          <w:jc w:val="center"/>
        </w:trPr>
        <w:tc>
          <w:tcPr>
            <w:tcW w:w="2042" w:type="dxa"/>
            <w:tcBorders>
              <w:top w:val="double" w:sz="6" w:space="0" w:color="000000"/>
              <w:left w:val="double" w:sz="6" w:space="0" w:color="000000"/>
              <w:bottom w:val="single" w:sz="6" w:space="0" w:color="auto"/>
              <w:right w:val="single" w:sz="6" w:space="0" w:color="auto"/>
            </w:tcBorders>
            <w:vAlign w:val="center"/>
            <w:hideMark/>
          </w:tcPr>
          <w:p w:rsidR="003A29CE" w:rsidRDefault="003A29CE" w:rsidP="00761C75">
            <w:pPr>
              <w:keepNext/>
              <w:spacing w:line="276" w:lineRule="auto"/>
              <w:jc w:val="center"/>
              <w:outlineLvl w:val="7"/>
              <w:rPr>
                <w:b/>
                <w:bCs/>
                <w:caps/>
                <w:sz w:val="20"/>
              </w:rPr>
            </w:pPr>
            <w:r>
              <w:rPr>
                <w:b/>
                <w:bCs/>
                <w:sz w:val="20"/>
              </w:rPr>
              <w:t>Age at Presentation</w:t>
            </w:r>
          </w:p>
        </w:tc>
        <w:tc>
          <w:tcPr>
            <w:tcW w:w="3330" w:type="dxa"/>
            <w:tcBorders>
              <w:top w:val="double" w:sz="6" w:space="0" w:color="000000"/>
              <w:left w:val="single" w:sz="6" w:space="0" w:color="auto"/>
              <w:bottom w:val="single" w:sz="6" w:space="0" w:color="auto"/>
              <w:right w:val="single" w:sz="6" w:space="0" w:color="auto"/>
            </w:tcBorders>
            <w:vAlign w:val="center"/>
            <w:hideMark/>
          </w:tcPr>
          <w:p w:rsidR="003A29CE" w:rsidRDefault="003A29CE" w:rsidP="00761C75">
            <w:pPr>
              <w:spacing w:before="40" w:after="60" w:line="276" w:lineRule="auto"/>
              <w:rPr>
                <w:b/>
                <w:caps/>
                <w:sz w:val="20"/>
              </w:rPr>
            </w:pPr>
            <w:r>
              <w:rPr>
                <w:b/>
                <w:sz w:val="20"/>
              </w:rPr>
              <w:t>Previous Vaccination History</w:t>
            </w:r>
          </w:p>
        </w:tc>
        <w:tc>
          <w:tcPr>
            <w:tcW w:w="3932" w:type="dxa"/>
            <w:tcBorders>
              <w:top w:val="double" w:sz="6" w:space="0" w:color="000000"/>
              <w:left w:val="single" w:sz="6" w:space="0" w:color="auto"/>
              <w:bottom w:val="single" w:sz="6" w:space="0" w:color="auto"/>
              <w:right w:val="double" w:sz="6" w:space="0" w:color="000000"/>
            </w:tcBorders>
            <w:vAlign w:val="center"/>
            <w:hideMark/>
          </w:tcPr>
          <w:p w:rsidR="003A29CE" w:rsidRDefault="003A29CE" w:rsidP="00761C75">
            <w:pPr>
              <w:spacing w:before="40" w:after="60" w:line="276" w:lineRule="auto"/>
              <w:rPr>
                <w:b/>
                <w:caps/>
                <w:sz w:val="20"/>
              </w:rPr>
            </w:pPr>
            <w:r>
              <w:rPr>
                <w:b/>
                <w:sz w:val="20"/>
              </w:rPr>
              <w:t>Recommended Regimen</w:t>
            </w:r>
          </w:p>
        </w:tc>
      </w:tr>
      <w:tr w:rsidR="003A29CE" w:rsidRPr="00907BE1" w:rsidTr="00761C75">
        <w:trPr>
          <w:trHeight w:val="898"/>
          <w:jc w:val="center"/>
        </w:trPr>
        <w:tc>
          <w:tcPr>
            <w:tcW w:w="2042" w:type="dxa"/>
            <w:tcBorders>
              <w:top w:val="single" w:sz="6" w:space="0" w:color="auto"/>
              <w:left w:val="double" w:sz="6" w:space="0" w:color="000000"/>
              <w:bottom w:val="single" w:sz="6" w:space="0" w:color="auto"/>
              <w:right w:val="single" w:sz="6" w:space="0" w:color="auto"/>
            </w:tcBorders>
            <w:vAlign w:val="center"/>
            <w:hideMark/>
          </w:tcPr>
          <w:p w:rsidR="003A29CE" w:rsidRDefault="003A29CE" w:rsidP="00761C75">
            <w:pPr>
              <w:spacing w:before="40" w:after="60" w:line="276" w:lineRule="auto"/>
              <w:rPr>
                <w:sz w:val="20"/>
              </w:rPr>
            </w:pPr>
            <w:r>
              <w:rPr>
                <w:sz w:val="20"/>
              </w:rPr>
              <w:t>7 through 11 months</w:t>
            </w:r>
          </w:p>
        </w:tc>
        <w:tc>
          <w:tcPr>
            <w:tcW w:w="3330" w:type="dxa"/>
            <w:tcBorders>
              <w:top w:val="single" w:sz="6" w:space="0" w:color="auto"/>
              <w:left w:val="single" w:sz="6" w:space="0" w:color="auto"/>
              <w:bottom w:val="single" w:sz="6" w:space="0" w:color="auto"/>
              <w:right w:val="single" w:sz="6" w:space="0" w:color="auto"/>
            </w:tcBorders>
            <w:vAlign w:val="center"/>
            <w:hideMark/>
          </w:tcPr>
          <w:p w:rsidR="003A29CE" w:rsidRDefault="003A29CE" w:rsidP="00761C75">
            <w:pPr>
              <w:spacing w:before="40" w:after="60" w:line="276" w:lineRule="auto"/>
              <w:rPr>
                <w:sz w:val="20"/>
                <w:vertAlign w:val="superscript"/>
              </w:rPr>
            </w:pPr>
            <w:r>
              <w:rPr>
                <w:sz w:val="20"/>
              </w:rPr>
              <w:t xml:space="preserve">1 dose of PRP-T, or </w:t>
            </w:r>
            <w:r>
              <w:rPr>
                <w:sz w:val="20"/>
              </w:rPr>
              <w:br/>
              <w:t xml:space="preserve">PRP-OMP </w:t>
            </w:r>
            <w:r>
              <w:rPr>
                <w:sz w:val="20"/>
                <w:vertAlign w:val="superscript"/>
              </w:rPr>
              <w:t>1</w:t>
            </w:r>
          </w:p>
          <w:p w:rsidR="003A29CE" w:rsidRDefault="003A29CE" w:rsidP="00761C75">
            <w:pPr>
              <w:spacing w:before="40" w:after="60" w:line="276" w:lineRule="auto"/>
              <w:rPr>
                <w:sz w:val="20"/>
                <w:vertAlign w:val="superscript"/>
              </w:rPr>
            </w:pPr>
            <w:r>
              <w:rPr>
                <w:sz w:val="20"/>
              </w:rPr>
              <w:t>2 doses of PRP-T</w:t>
            </w:r>
          </w:p>
        </w:tc>
        <w:tc>
          <w:tcPr>
            <w:tcW w:w="3932" w:type="dxa"/>
            <w:tcBorders>
              <w:top w:val="single" w:sz="6" w:space="0" w:color="auto"/>
              <w:left w:val="single" w:sz="6" w:space="0" w:color="auto"/>
              <w:bottom w:val="single" w:sz="6" w:space="0" w:color="auto"/>
              <w:right w:val="double" w:sz="6" w:space="0" w:color="000000"/>
            </w:tcBorders>
            <w:vAlign w:val="center"/>
            <w:hideMark/>
          </w:tcPr>
          <w:p w:rsidR="003A29CE" w:rsidRDefault="003A29CE" w:rsidP="00761C75">
            <w:pPr>
              <w:spacing w:before="40" w:after="60" w:line="276" w:lineRule="auto"/>
              <w:rPr>
                <w:sz w:val="20"/>
              </w:rPr>
            </w:pPr>
            <w:r>
              <w:rPr>
                <w:sz w:val="20"/>
              </w:rPr>
              <w:t xml:space="preserve">1 dose of conjugate at 7 through 11 months with a booster dose given at least 2 months later, at 12 through 15 months </w:t>
            </w:r>
            <w:r>
              <w:rPr>
                <w:sz w:val="20"/>
                <w:vertAlign w:val="superscript"/>
              </w:rPr>
              <w:t>2</w:t>
            </w:r>
          </w:p>
          <w:p w:rsidR="003A29CE" w:rsidRDefault="003A29CE" w:rsidP="00761C75">
            <w:pPr>
              <w:spacing w:before="40" w:after="60" w:line="276" w:lineRule="auto"/>
              <w:rPr>
                <w:sz w:val="20"/>
              </w:rPr>
            </w:pPr>
            <w:r>
              <w:rPr>
                <w:sz w:val="20"/>
              </w:rPr>
              <w:t>Same as above</w:t>
            </w:r>
          </w:p>
        </w:tc>
      </w:tr>
      <w:tr w:rsidR="003A29CE" w:rsidRPr="00907BE1" w:rsidTr="00761C75">
        <w:trPr>
          <w:jc w:val="center"/>
        </w:trPr>
        <w:tc>
          <w:tcPr>
            <w:tcW w:w="2042" w:type="dxa"/>
            <w:tcBorders>
              <w:top w:val="single" w:sz="6" w:space="0" w:color="auto"/>
              <w:left w:val="double" w:sz="6" w:space="0" w:color="000000"/>
              <w:bottom w:val="single" w:sz="6" w:space="0" w:color="auto"/>
              <w:right w:val="single" w:sz="6" w:space="0" w:color="auto"/>
            </w:tcBorders>
            <w:vAlign w:val="center"/>
            <w:hideMark/>
          </w:tcPr>
          <w:p w:rsidR="003A29CE" w:rsidRDefault="003A29CE" w:rsidP="00761C75">
            <w:pPr>
              <w:spacing w:before="40" w:after="60" w:line="276" w:lineRule="auto"/>
              <w:rPr>
                <w:sz w:val="20"/>
                <w:vertAlign w:val="superscript"/>
              </w:rPr>
            </w:pPr>
            <w:r>
              <w:rPr>
                <w:sz w:val="20"/>
              </w:rPr>
              <w:t>12 through 14 months</w:t>
            </w:r>
          </w:p>
        </w:tc>
        <w:tc>
          <w:tcPr>
            <w:tcW w:w="3330" w:type="dxa"/>
            <w:tcBorders>
              <w:top w:val="single" w:sz="6" w:space="0" w:color="auto"/>
              <w:left w:val="single" w:sz="6" w:space="0" w:color="auto"/>
              <w:bottom w:val="single" w:sz="6" w:space="0" w:color="auto"/>
              <w:right w:val="single" w:sz="6" w:space="0" w:color="auto"/>
            </w:tcBorders>
            <w:vAlign w:val="center"/>
            <w:hideMark/>
          </w:tcPr>
          <w:p w:rsidR="003A29CE" w:rsidRDefault="003A29CE" w:rsidP="00761C75">
            <w:pPr>
              <w:spacing w:before="40" w:after="60" w:line="276" w:lineRule="auto"/>
              <w:rPr>
                <w:sz w:val="20"/>
                <w:vertAlign w:val="superscript"/>
              </w:rPr>
            </w:pPr>
            <w:r>
              <w:rPr>
                <w:sz w:val="20"/>
              </w:rPr>
              <w:t xml:space="preserve">2 doses before 12 months of </w:t>
            </w:r>
            <w:r>
              <w:rPr>
                <w:sz w:val="20"/>
              </w:rPr>
              <w:br/>
              <w:t xml:space="preserve">PRP-T or PRP-OMP </w:t>
            </w:r>
            <w:r>
              <w:rPr>
                <w:sz w:val="20"/>
                <w:vertAlign w:val="superscript"/>
              </w:rPr>
              <w:t>1</w:t>
            </w:r>
          </w:p>
        </w:tc>
        <w:tc>
          <w:tcPr>
            <w:tcW w:w="3932" w:type="dxa"/>
            <w:tcBorders>
              <w:top w:val="single" w:sz="6" w:space="0" w:color="auto"/>
              <w:left w:val="single" w:sz="6" w:space="0" w:color="auto"/>
              <w:bottom w:val="single" w:sz="6" w:space="0" w:color="auto"/>
              <w:right w:val="double" w:sz="6" w:space="0" w:color="000000"/>
            </w:tcBorders>
            <w:vAlign w:val="center"/>
            <w:hideMark/>
          </w:tcPr>
          <w:p w:rsidR="003A29CE" w:rsidRDefault="003A29CE" w:rsidP="00761C75">
            <w:pPr>
              <w:spacing w:before="40" w:after="60" w:line="276" w:lineRule="auto"/>
              <w:rPr>
                <w:sz w:val="20"/>
                <w:vertAlign w:val="superscript"/>
              </w:rPr>
            </w:pPr>
            <w:r>
              <w:rPr>
                <w:sz w:val="20"/>
              </w:rPr>
              <w:t xml:space="preserve">1 dose of any licensed conjugate </w:t>
            </w:r>
            <w:r>
              <w:rPr>
                <w:sz w:val="20"/>
                <w:vertAlign w:val="superscript"/>
              </w:rPr>
              <w:t>3</w:t>
            </w:r>
          </w:p>
        </w:tc>
      </w:tr>
      <w:tr w:rsidR="003A29CE" w:rsidRPr="00907BE1" w:rsidTr="00761C75">
        <w:trPr>
          <w:jc w:val="center"/>
        </w:trPr>
        <w:tc>
          <w:tcPr>
            <w:tcW w:w="2042" w:type="dxa"/>
            <w:tcBorders>
              <w:top w:val="single" w:sz="6" w:space="0" w:color="auto"/>
              <w:left w:val="double" w:sz="6" w:space="0" w:color="000000"/>
              <w:bottom w:val="single" w:sz="6" w:space="0" w:color="auto"/>
              <w:right w:val="single" w:sz="6" w:space="0" w:color="auto"/>
            </w:tcBorders>
            <w:vAlign w:val="center"/>
            <w:hideMark/>
          </w:tcPr>
          <w:p w:rsidR="003A29CE" w:rsidRDefault="003A29CE" w:rsidP="00761C75">
            <w:pPr>
              <w:spacing w:before="40" w:after="60" w:line="276" w:lineRule="auto"/>
              <w:rPr>
                <w:sz w:val="20"/>
                <w:vertAlign w:val="superscript"/>
              </w:rPr>
            </w:pPr>
            <w:r>
              <w:rPr>
                <w:sz w:val="20"/>
              </w:rPr>
              <w:t>12 through 14 months</w:t>
            </w:r>
          </w:p>
        </w:tc>
        <w:tc>
          <w:tcPr>
            <w:tcW w:w="3330" w:type="dxa"/>
            <w:tcBorders>
              <w:top w:val="single" w:sz="6" w:space="0" w:color="auto"/>
              <w:left w:val="single" w:sz="6" w:space="0" w:color="auto"/>
              <w:bottom w:val="single" w:sz="6" w:space="0" w:color="auto"/>
              <w:right w:val="single" w:sz="6" w:space="0" w:color="auto"/>
            </w:tcBorders>
            <w:vAlign w:val="center"/>
            <w:hideMark/>
          </w:tcPr>
          <w:p w:rsidR="003A29CE" w:rsidRDefault="003A29CE" w:rsidP="00761C75">
            <w:pPr>
              <w:spacing w:before="40" w:after="60" w:line="276" w:lineRule="auto"/>
              <w:rPr>
                <w:sz w:val="20"/>
              </w:rPr>
            </w:pPr>
            <w:r>
              <w:rPr>
                <w:sz w:val="20"/>
              </w:rPr>
              <w:t xml:space="preserve">1 dose before 12 months of </w:t>
            </w:r>
            <w:r>
              <w:rPr>
                <w:sz w:val="20"/>
              </w:rPr>
              <w:br/>
              <w:t xml:space="preserve">PRP-T or PRP-OMP </w:t>
            </w:r>
            <w:r>
              <w:rPr>
                <w:sz w:val="20"/>
                <w:vertAlign w:val="superscript"/>
              </w:rPr>
              <w:t>1</w:t>
            </w:r>
          </w:p>
        </w:tc>
        <w:tc>
          <w:tcPr>
            <w:tcW w:w="3932" w:type="dxa"/>
            <w:tcBorders>
              <w:top w:val="single" w:sz="6" w:space="0" w:color="auto"/>
              <w:left w:val="single" w:sz="6" w:space="0" w:color="auto"/>
              <w:bottom w:val="single" w:sz="6" w:space="0" w:color="auto"/>
              <w:right w:val="double" w:sz="6" w:space="0" w:color="000000"/>
            </w:tcBorders>
            <w:vAlign w:val="center"/>
            <w:hideMark/>
          </w:tcPr>
          <w:p w:rsidR="003A29CE" w:rsidRDefault="003A29CE" w:rsidP="00761C75">
            <w:pPr>
              <w:spacing w:before="40" w:after="60" w:line="276" w:lineRule="auto"/>
              <w:rPr>
                <w:sz w:val="20"/>
                <w:vertAlign w:val="superscript"/>
              </w:rPr>
            </w:pPr>
            <w:r>
              <w:rPr>
                <w:sz w:val="20"/>
              </w:rPr>
              <w:t xml:space="preserve">2 additional doses of any licensed conjugate, with a minimum interval of 2 months </w:t>
            </w:r>
            <w:r>
              <w:rPr>
                <w:sz w:val="20"/>
                <w:vertAlign w:val="superscript"/>
              </w:rPr>
              <w:t>3</w:t>
            </w:r>
          </w:p>
        </w:tc>
      </w:tr>
      <w:tr w:rsidR="003A29CE" w:rsidRPr="00907BE1" w:rsidTr="00761C75">
        <w:trPr>
          <w:trHeight w:val="462"/>
          <w:jc w:val="center"/>
        </w:trPr>
        <w:tc>
          <w:tcPr>
            <w:tcW w:w="2042" w:type="dxa"/>
            <w:tcBorders>
              <w:top w:val="single" w:sz="6" w:space="0" w:color="auto"/>
              <w:left w:val="double" w:sz="6" w:space="0" w:color="000000"/>
              <w:bottom w:val="double" w:sz="6" w:space="0" w:color="000000"/>
              <w:right w:val="single" w:sz="6" w:space="0" w:color="auto"/>
            </w:tcBorders>
            <w:vAlign w:val="center"/>
            <w:hideMark/>
          </w:tcPr>
          <w:p w:rsidR="003A29CE" w:rsidRDefault="003A29CE" w:rsidP="00761C75">
            <w:pPr>
              <w:spacing w:before="40" w:after="60" w:line="276" w:lineRule="auto"/>
              <w:rPr>
                <w:sz w:val="20"/>
                <w:vertAlign w:val="superscript"/>
              </w:rPr>
            </w:pPr>
            <w:r>
              <w:rPr>
                <w:sz w:val="20"/>
              </w:rPr>
              <w:t>15 through 59 months</w:t>
            </w:r>
          </w:p>
        </w:tc>
        <w:tc>
          <w:tcPr>
            <w:tcW w:w="3330" w:type="dxa"/>
            <w:tcBorders>
              <w:top w:val="single" w:sz="6" w:space="0" w:color="auto"/>
              <w:left w:val="single" w:sz="6" w:space="0" w:color="auto"/>
              <w:bottom w:val="double" w:sz="6" w:space="0" w:color="000000"/>
              <w:right w:val="single" w:sz="6" w:space="0" w:color="auto"/>
            </w:tcBorders>
            <w:vAlign w:val="center"/>
            <w:hideMark/>
          </w:tcPr>
          <w:p w:rsidR="003A29CE" w:rsidRDefault="003A29CE" w:rsidP="00761C75">
            <w:pPr>
              <w:spacing w:before="40" w:after="60" w:line="276" w:lineRule="auto"/>
              <w:rPr>
                <w:sz w:val="20"/>
              </w:rPr>
            </w:pPr>
            <w:r>
              <w:rPr>
                <w:sz w:val="20"/>
              </w:rPr>
              <w:t>Any incomplete schedule</w:t>
            </w:r>
          </w:p>
        </w:tc>
        <w:tc>
          <w:tcPr>
            <w:tcW w:w="3932" w:type="dxa"/>
            <w:tcBorders>
              <w:top w:val="single" w:sz="6" w:space="0" w:color="auto"/>
              <w:left w:val="single" w:sz="6" w:space="0" w:color="auto"/>
              <w:bottom w:val="double" w:sz="6" w:space="0" w:color="000000"/>
              <w:right w:val="double" w:sz="6" w:space="0" w:color="000000"/>
            </w:tcBorders>
            <w:vAlign w:val="center"/>
            <w:hideMark/>
          </w:tcPr>
          <w:p w:rsidR="003A29CE" w:rsidRDefault="003A29CE" w:rsidP="00761C75">
            <w:pPr>
              <w:spacing w:before="40" w:after="60" w:line="276" w:lineRule="auto"/>
              <w:rPr>
                <w:sz w:val="20"/>
                <w:vertAlign w:val="superscript"/>
              </w:rPr>
            </w:pPr>
            <w:r>
              <w:rPr>
                <w:sz w:val="20"/>
              </w:rPr>
              <w:t xml:space="preserve">1 dose of any licensed conjugate </w:t>
            </w:r>
            <w:r>
              <w:rPr>
                <w:sz w:val="20"/>
                <w:vertAlign w:val="superscript"/>
              </w:rPr>
              <w:t>3</w:t>
            </w:r>
          </w:p>
        </w:tc>
      </w:tr>
    </w:tbl>
    <w:p w:rsidR="003A29CE" w:rsidRDefault="003A29CE" w:rsidP="003A29CE">
      <w:pPr>
        <w:tabs>
          <w:tab w:val="left" w:pos="450"/>
          <w:tab w:val="left" w:pos="9360"/>
        </w:tabs>
        <w:spacing w:before="60"/>
        <w:ind w:right="864"/>
        <w:rPr>
          <w:sz w:val="18"/>
          <w:szCs w:val="18"/>
        </w:rPr>
      </w:pPr>
      <w:r>
        <w:rPr>
          <w:position w:val="6"/>
          <w:sz w:val="18"/>
          <w:szCs w:val="18"/>
          <w:vertAlign w:val="superscript"/>
        </w:rPr>
        <w:t xml:space="preserve">         </w:t>
      </w:r>
      <w:proofErr w:type="gramStart"/>
      <w:r>
        <w:rPr>
          <w:position w:val="6"/>
          <w:sz w:val="18"/>
          <w:szCs w:val="18"/>
          <w:vertAlign w:val="superscript"/>
        </w:rPr>
        <w:t>1</w:t>
      </w:r>
      <w:r>
        <w:rPr>
          <w:sz w:val="18"/>
          <w:szCs w:val="18"/>
        </w:rPr>
        <w:t xml:space="preserve">  PRP</w:t>
      </w:r>
      <w:proofErr w:type="gramEnd"/>
      <w:r>
        <w:rPr>
          <w:sz w:val="18"/>
          <w:szCs w:val="18"/>
        </w:rPr>
        <w:t>-T (</w:t>
      </w:r>
      <w:proofErr w:type="spellStart"/>
      <w:r>
        <w:rPr>
          <w:iCs/>
          <w:sz w:val="18"/>
          <w:szCs w:val="18"/>
        </w:rPr>
        <w:t>ActHIB</w:t>
      </w:r>
      <w:proofErr w:type="spellEnd"/>
      <w:r>
        <w:rPr>
          <w:sz w:val="18"/>
          <w:szCs w:val="18"/>
        </w:rPr>
        <w:t>), PRP-OMP (</w:t>
      </w:r>
      <w:proofErr w:type="spellStart"/>
      <w:r>
        <w:rPr>
          <w:iCs/>
          <w:sz w:val="18"/>
          <w:szCs w:val="18"/>
        </w:rPr>
        <w:t>PedvaxHIB</w:t>
      </w:r>
      <w:proofErr w:type="spellEnd"/>
      <w:r>
        <w:rPr>
          <w:sz w:val="18"/>
          <w:szCs w:val="18"/>
        </w:rPr>
        <w:t>).</w:t>
      </w:r>
    </w:p>
    <w:p w:rsidR="003A29CE" w:rsidRDefault="003A29CE" w:rsidP="003A29CE">
      <w:pPr>
        <w:tabs>
          <w:tab w:val="left" w:pos="450"/>
          <w:tab w:val="left" w:pos="9360"/>
        </w:tabs>
        <w:ind w:left="450" w:right="864" w:hanging="180"/>
        <w:rPr>
          <w:sz w:val="18"/>
          <w:szCs w:val="18"/>
        </w:rPr>
      </w:pPr>
      <w:r>
        <w:rPr>
          <w:position w:val="6"/>
          <w:sz w:val="18"/>
          <w:szCs w:val="18"/>
          <w:vertAlign w:val="superscript"/>
        </w:rPr>
        <w:t>2</w:t>
      </w:r>
      <w:r>
        <w:rPr>
          <w:sz w:val="18"/>
          <w:szCs w:val="18"/>
          <w:vertAlign w:val="superscript"/>
        </w:rPr>
        <w:tab/>
      </w:r>
      <w:r>
        <w:rPr>
          <w:sz w:val="18"/>
          <w:szCs w:val="18"/>
        </w:rPr>
        <w:t xml:space="preserve">For the dose given at </w:t>
      </w:r>
      <w:proofErr w:type="gramStart"/>
      <w:r>
        <w:rPr>
          <w:sz w:val="18"/>
          <w:szCs w:val="18"/>
        </w:rPr>
        <w:t>7</w:t>
      </w:r>
      <w:proofErr w:type="gramEnd"/>
      <w:r>
        <w:rPr>
          <w:sz w:val="18"/>
          <w:szCs w:val="18"/>
        </w:rPr>
        <w:t xml:space="preserve"> through 11 months, when feasible, the same vaccine should be used for the dose given at 2 through 6 months.  At &gt; 12 months of age, any licensed conjugate </w:t>
      </w:r>
      <w:proofErr w:type="gramStart"/>
      <w:r>
        <w:rPr>
          <w:sz w:val="18"/>
          <w:szCs w:val="18"/>
        </w:rPr>
        <w:t>can be used</w:t>
      </w:r>
      <w:proofErr w:type="gramEnd"/>
      <w:r>
        <w:rPr>
          <w:sz w:val="18"/>
          <w:szCs w:val="18"/>
        </w:rPr>
        <w:t>.</w:t>
      </w:r>
    </w:p>
    <w:p w:rsidR="003A29CE" w:rsidRDefault="003A29CE" w:rsidP="003A29CE">
      <w:pPr>
        <w:tabs>
          <w:tab w:val="left" w:pos="450"/>
          <w:tab w:val="left" w:pos="9360"/>
        </w:tabs>
        <w:ind w:left="450" w:right="864" w:hanging="450"/>
        <w:rPr>
          <w:sz w:val="18"/>
          <w:szCs w:val="18"/>
        </w:rPr>
      </w:pPr>
      <w:r>
        <w:rPr>
          <w:i/>
          <w:position w:val="6"/>
          <w:sz w:val="18"/>
          <w:szCs w:val="18"/>
        </w:rPr>
        <w:t xml:space="preserve">     </w:t>
      </w:r>
      <w:r>
        <w:rPr>
          <w:position w:val="6"/>
          <w:sz w:val="18"/>
          <w:szCs w:val="18"/>
          <w:vertAlign w:val="superscript"/>
        </w:rPr>
        <w:t>3</w:t>
      </w:r>
      <w:r>
        <w:rPr>
          <w:position w:val="6"/>
          <w:sz w:val="18"/>
          <w:szCs w:val="18"/>
        </w:rPr>
        <w:tab/>
      </w:r>
      <w:r>
        <w:rPr>
          <w:sz w:val="18"/>
          <w:szCs w:val="18"/>
        </w:rPr>
        <w:t>For children 12 through 59 months of age with an underlying condition predisposing them to Hib disease who are not immunized or who have received only 1 dose of conjugate vaccine before 12 months, 2</w:t>
      </w:r>
      <w:r>
        <w:rPr>
          <w:color w:val="FF0000"/>
          <w:sz w:val="18"/>
          <w:szCs w:val="18"/>
        </w:rPr>
        <w:t> </w:t>
      </w:r>
      <w:r>
        <w:rPr>
          <w:sz w:val="18"/>
          <w:szCs w:val="18"/>
        </w:rPr>
        <w:t xml:space="preserve">additional doses of a licensed conjugate vaccine (separated by 2 months) are recommended.  If they have received </w:t>
      </w:r>
      <w:proofErr w:type="gramStart"/>
      <w:r>
        <w:rPr>
          <w:sz w:val="18"/>
          <w:szCs w:val="18"/>
        </w:rPr>
        <w:t>2</w:t>
      </w:r>
      <w:proofErr w:type="gramEnd"/>
      <w:r>
        <w:rPr>
          <w:sz w:val="18"/>
          <w:szCs w:val="18"/>
        </w:rPr>
        <w:t xml:space="preserve"> doses before 12 months, only 1 dose is recommended.</w:t>
      </w:r>
    </w:p>
    <w:p w:rsidR="003A29CE" w:rsidRDefault="003A29CE" w:rsidP="003A29CE">
      <w:pPr>
        <w:tabs>
          <w:tab w:val="left" w:pos="450"/>
          <w:tab w:val="left" w:pos="9360"/>
        </w:tabs>
        <w:ind w:left="450" w:right="864" w:hanging="450"/>
        <w:rPr>
          <w:sz w:val="18"/>
          <w:szCs w:val="18"/>
        </w:rPr>
      </w:pPr>
    </w:p>
    <w:p w:rsidR="003A29CE" w:rsidRDefault="003A29CE" w:rsidP="003A29CE">
      <w:pPr>
        <w:tabs>
          <w:tab w:val="left" w:pos="450"/>
          <w:tab w:val="left" w:pos="9360"/>
        </w:tabs>
        <w:ind w:left="450" w:right="864" w:hanging="450"/>
        <w:rPr>
          <w:sz w:val="18"/>
          <w:szCs w:val="18"/>
        </w:rPr>
      </w:pPr>
    </w:p>
    <w:p w:rsidR="003A29CE" w:rsidRDefault="003A29CE" w:rsidP="003A29CE">
      <w:pPr>
        <w:tabs>
          <w:tab w:val="left" w:pos="450"/>
          <w:tab w:val="left" w:pos="9360"/>
        </w:tabs>
        <w:ind w:left="450" w:right="864" w:hanging="450"/>
        <w:rPr>
          <w:sz w:val="18"/>
          <w:szCs w:val="18"/>
        </w:rPr>
      </w:pPr>
    </w:p>
    <w:p w:rsidR="003A29CE" w:rsidRDefault="003A29CE" w:rsidP="003A29CE">
      <w:pPr>
        <w:widowControl w:val="0"/>
        <w:spacing w:after="120"/>
        <w:jc w:val="center"/>
      </w:pPr>
      <w:proofErr w:type="spellStart"/>
      <w:r>
        <w:rPr>
          <w:b/>
        </w:rPr>
        <w:t>PedvaxHIB</w:t>
      </w:r>
      <w:proofErr w:type="spellEnd"/>
      <w:r>
        <w:rPr>
          <w:b/>
          <w:vertAlign w:val="superscript"/>
        </w:rPr>
        <w:t>®</w:t>
      </w:r>
      <w:r>
        <w:rPr>
          <w:b/>
        </w:rPr>
        <w:t xml:space="preserve"> (PRP-OMP) Schedules for </w:t>
      </w:r>
      <w:r>
        <w:rPr>
          <w:b/>
        </w:rPr>
        <w:br/>
        <w:t xml:space="preserve">Unimmunized Children </w:t>
      </w:r>
      <w:proofErr w:type="gramStart"/>
      <w:r>
        <w:rPr>
          <w:b/>
        </w:rPr>
        <w:t>Without</w:t>
      </w:r>
      <w:proofErr w:type="gramEnd"/>
      <w:r>
        <w:rPr>
          <w:b/>
        </w:rPr>
        <w:t xml:space="preserve"> Any Previous Doses</w:t>
      </w:r>
    </w:p>
    <w:tbl>
      <w:tblPr>
        <w:tblW w:w="9180" w:type="dxa"/>
        <w:tblInd w:w="19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2446"/>
        <w:gridCol w:w="1056"/>
        <w:gridCol w:w="2168"/>
        <w:gridCol w:w="3510"/>
      </w:tblGrid>
      <w:tr w:rsidR="003A29CE" w:rsidRPr="00907BE1" w:rsidTr="00761C75">
        <w:tc>
          <w:tcPr>
            <w:tcW w:w="2446" w:type="dxa"/>
            <w:tcBorders>
              <w:top w:val="double" w:sz="6" w:space="0" w:color="000000"/>
              <w:left w:val="double" w:sz="6" w:space="0" w:color="000000"/>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76" w:lineRule="auto"/>
              <w:jc w:val="center"/>
              <w:rPr>
                <w:b/>
                <w:sz w:val="20"/>
              </w:rPr>
            </w:pPr>
            <w:r>
              <w:rPr>
                <w:b/>
                <w:sz w:val="20"/>
              </w:rPr>
              <w:t>Age Receiving 1</w:t>
            </w:r>
            <w:r>
              <w:rPr>
                <w:b/>
                <w:sz w:val="20"/>
                <w:vertAlign w:val="superscript"/>
              </w:rPr>
              <w:t>st</w:t>
            </w:r>
            <w:r>
              <w:rPr>
                <w:b/>
                <w:sz w:val="20"/>
              </w:rPr>
              <w:t xml:space="preserve"> Dose</w:t>
            </w:r>
          </w:p>
        </w:tc>
        <w:tc>
          <w:tcPr>
            <w:tcW w:w="1056" w:type="dxa"/>
            <w:tcBorders>
              <w:top w:val="double" w:sz="6" w:space="0" w:color="000000"/>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76" w:lineRule="auto"/>
              <w:jc w:val="center"/>
              <w:rPr>
                <w:b/>
                <w:sz w:val="20"/>
              </w:rPr>
            </w:pPr>
            <w:r>
              <w:rPr>
                <w:b/>
                <w:sz w:val="20"/>
              </w:rPr>
              <w:t>Dose</w:t>
            </w:r>
          </w:p>
        </w:tc>
        <w:tc>
          <w:tcPr>
            <w:tcW w:w="2168" w:type="dxa"/>
            <w:tcBorders>
              <w:top w:val="double" w:sz="6" w:space="0" w:color="000000"/>
              <w:left w:val="single" w:sz="4" w:space="0" w:color="auto"/>
              <w:bottom w:val="single" w:sz="4" w:space="0" w:color="auto"/>
              <w:right w:val="single" w:sz="4" w:space="0" w:color="auto"/>
            </w:tcBorders>
            <w:vAlign w:val="center"/>
            <w:hideMark/>
          </w:tcPr>
          <w:p w:rsidR="003A29CE" w:rsidRDefault="003A29CE" w:rsidP="00761C75">
            <w:pPr>
              <w:keepNext/>
              <w:framePr w:hSpace="180" w:wrap="around" w:vAnchor="text" w:hAnchor="margin" w:xAlign="center" w:y="218"/>
              <w:spacing w:line="276" w:lineRule="auto"/>
              <w:jc w:val="center"/>
              <w:outlineLvl w:val="8"/>
              <w:rPr>
                <w:b/>
                <w:bCs/>
                <w:sz w:val="20"/>
              </w:rPr>
            </w:pPr>
            <w:r>
              <w:rPr>
                <w:b/>
                <w:bCs/>
                <w:sz w:val="20"/>
              </w:rPr>
              <w:t>Recommended Age</w:t>
            </w:r>
          </w:p>
        </w:tc>
        <w:tc>
          <w:tcPr>
            <w:tcW w:w="3510" w:type="dxa"/>
            <w:tcBorders>
              <w:top w:val="double" w:sz="6" w:space="0" w:color="000000"/>
              <w:left w:val="single" w:sz="4" w:space="0" w:color="auto"/>
              <w:bottom w:val="single" w:sz="4" w:space="0" w:color="auto"/>
              <w:right w:val="double" w:sz="6" w:space="0" w:color="000000"/>
            </w:tcBorders>
            <w:vAlign w:val="center"/>
            <w:hideMark/>
          </w:tcPr>
          <w:p w:rsidR="003A29CE" w:rsidRDefault="003A29CE" w:rsidP="00761C75">
            <w:pPr>
              <w:keepNext/>
              <w:framePr w:hSpace="180" w:wrap="around" w:vAnchor="text" w:hAnchor="margin" w:xAlign="center" w:y="218"/>
              <w:spacing w:line="276" w:lineRule="auto"/>
              <w:jc w:val="center"/>
              <w:outlineLvl w:val="8"/>
              <w:rPr>
                <w:b/>
                <w:bCs/>
                <w:sz w:val="20"/>
              </w:rPr>
            </w:pPr>
            <w:r>
              <w:rPr>
                <w:b/>
                <w:bCs/>
                <w:sz w:val="20"/>
              </w:rPr>
              <w:t>Accelerated Schedule</w:t>
            </w:r>
          </w:p>
        </w:tc>
      </w:tr>
      <w:tr w:rsidR="003A29CE" w:rsidRPr="00907BE1" w:rsidTr="00761C75">
        <w:trPr>
          <w:trHeight w:val="95"/>
        </w:trPr>
        <w:tc>
          <w:tcPr>
            <w:tcW w:w="2446" w:type="dxa"/>
            <w:vMerge w:val="restart"/>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76" w:lineRule="auto"/>
              <w:jc w:val="center"/>
              <w:rPr>
                <w:sz w:val="20"/>
              </w:rPr>
            </w:pPr>
            <w:r>
              <w:rPr>
                <w:sz w:val="20"/>
              </w:rPr>
              <w:t>0 through 7 months</w:t>
            </w:r>
          </w:p>
        </w:tc>
        <w:tc>
          <w:tcPr>
            <w:tcW w:w="1056"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1</w:t>
            </w:r>
            <w:r>
              <w:rPr>
                <w:sz w:val="20"/>
                <w:vertAlign w:val="superscript"/>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2 months</w:t>
            </w:r>
          </w:p>
        </w:tc>
        <w:tc>
          <w:tcPr>
            <w:tcW w:w="3510"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u w:val="single"/>
              </w:rPr>
              <w:t>&gt;</w:t>
            </w:r>
            <w:r>
              <w:rPr>
                <w:sz w:val="20"/>
              </w:rPr>
              <w:t xml:space="preserve"> 6 weeks of age</w:t>
            </w:r>
          </w:p>
        </w:tc>
      </w:tr>
      <w:tr w:rsidR="003A29CE" w:rsidRPr="00907BE1" w:rsidTr="00761C75">
        <w:trPr>
          <w:trHeight w:val="95"/>
        </w:trPr>
        <w:tc>
          <w:tcPr>
            <w:tcW w:w="2446" w:type="dxa"/>
            <w:vMerge/>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rPr>
                <w:sz w:val="20"/>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2</w:t>
            </w:r>
            <w:r>
              <w:rPr>
                <w:sz w:val="20"/>
                <w:vertAlign w:val="superscript"/>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4 months</w:t>
            </w:r>
          </w:p>
        </w:tc>
        <w:tc>
          <w:tcPr>
            <w:tcW w:w="3510"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u w:val="single"/>
              </w:rPr>
              <w:t>&gt;</w:t>
            </w:r>
            <w:r>
              <w:rPr>
                <w:sz w:val="20"/>
              </w:rPr>
              <w:t xml:space="preserve"> 1 month after dose #1</w:t>
            </w:r>
          </w:p>
        </w:tc>
      </w:tr>
      <w:tr w:rsidR="003A29CE" w:rsidRPr="00907BE1" w:rsidTr="00761C75">
        <w:trPr>
          <w:trHeight w:val="95"/>
        </w:trPr>
        <w:tc>
          <w:tcPr>
            <w:tcW w:w="2446" w:type="dxa"/>
            <w:vMerge/>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rPr>
                <w:sz w:val="20"/>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3</w:t>
            </w:r>
          </w:p>
        </w:tc>
        <w:tc>
          <w:tcPr>
            <w:tcW w:w="216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12 through 15 months</w:t>
            </w:r>
          </w:p>
        </w:tc>
        <w:tc>
          <w:tcPr>
            <w:tcW w:w="3510"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u w:val="single"/>
              </w:rPr>
              <w:t>&gt;</w:t>
            </w:r>
            <w:r>
              <w:rPr>
                <w:sz w:val="20"/>
              </w:rPr>
              <w:t xml:space="preserve"> 2 months after previous dose and </w:t>
            </w:r>
          </w:p>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u w:val="single"/>
              </w:rPr>
              <w:t>&gt;</w:t>
            </w:r>
            <w:r>
              <w:rPr>
                <w:sz w:val="20"/>
              </w:rPr>
              <w:t xml:space="preserve"> 12 months of age</w:t>
            </w:r>
          </w:p>
        </w:tc>
      </w:tr>
      <w:tr w:rsidR="003A29CE" w:rsidRPr="00907BE1" w:rsidTr="00761C75">
        <w:trPr>
          <w:trHeight w:val="143"/>
        </w:trPr>
        <w:tc>
          <w:tcPr>
            <w:tcW w:w="2446" w:type="dxa"/>
            <w:vMerge w:val="restart"/>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76" w:lineRule="auto"/>
              <w:jc w:val="center"/>
              <w:rPr>
                <w:sz w:val="20"/>
              </w:rPr>
            </w:pPr>
            <w:r>
              <w:rPr>
                <w:sz w:val="20"/>
              </w:rPr>
              <w:t>7 through 11 months</w:t>
            </w:r>
          </w:p>
        </w:tc>
        <w:tc>
          <w:tcPr>
            <w:tcW w:w="1056"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w:t>
            </w:r>
          </w:p>
        </w:tc>
        <w:tc>
          <w:tcPr>
            <w:tcW w:w="3510"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1</w:t>
            </w:r>
            <w:r>
              <w:rPr>
                <w:sz w:val="20"/>
                <w:vertAlign w:val="superscript"/>
              </w:rPr>
              <w:t>st</w:t>
            </w:r>
            <w:r>
              <w:rPr>
                <w:sz w:val="20"/>
              </w:rPr>
              <w:t xml:space="preserve"> visit</w:t>
            </w:r>
          </w:p>
        </w:tc>
      </w:tr>
      <w:tr w:rsidR="003A29CE" w:rsidRPr="00907BE1" w:rsidTr="00761C75">
        <w:trPr>
          <w:trHeight w:val="142"/>
        </w:trPr>
        <w:tc>
          <w:tcPr>
            <w:tcW w:w="2446" w:type="dxa"/>
            <w:vMerge/>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rPr>
                <w:sz w:val="20"/>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2</w:t>
            </w:r>
          </w:p>
        </w:tc>
        <w:tc>
          <w:tcPr>
            <w:tcW w:w="216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w:t>
            </w:r>
          </w:p>
        </w:tc>
        <w:tc>
          <w:tcPr>
            <w:tcW w:w="3510"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u w:val="single"/>
              </w:rPr>
              <w:t>&gt;</w:t>
            </w:r>
            <w:r>
              <w:rPr>
                <w:sz w:val="20"/>
              </w:rPr>
              <w:t xml:space="preserve"> 1 months after dose #1</w:t>
            </w:r>
          </w:p>
        </w:tc>
      </w:tr>
      <w:tr w:rsidR="003A29CE" w:rsidRPr="00907BE1" w:rsidTr="00761C75">
        <w:trPr>
          <w:trHeight w:val="142"/>
        </w:trPr>
        <w:tc>
          <w:tcPr>
            <w:tcW w:w="2446" w:type="dxa"/>
            <w:vMerge/>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rPr>
                <w:sz w:val="20"/>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3</w:t>
            </w:r>
          </w:p>
        </w:tc>
        <w:tc>
          <w:tcPr>
            <w:tcW w:w="216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w:t>
            </w:r>
          </w:p>
        </w:tc>
        <w:tc>
          <w:tcPr>
            <w:tcW w:w="3510"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u w:val="single"/>
              </w:rPr>
              <w:t>&gt;</w:t>
            </w:r>
            <w:r>
              <w:rPr>
                <w:sz w:val="20"/>
              </w:rPr>
              <w:t xml:space="preserve"> 2 months after previous dose and between 12 through 15 months of age</w:t>
            </w:r>
          </w:p>
        </w:tc>
      </w:tr>
      <w:tr w:rsidR="003A29CE" w:rsidRPr="00907BE1" w:rsidTr="00761C75">
        <w:trPr>
          <w:trHeight w:val="143"/>
        </w:trPr>
        <w:tc>
          <w:tcPr>
            <w:tcW w:w="2446" w:type="dxa"/>
            <w:vMerge w:val="restart"/>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76" w:lineRule="auto"/>
              <w:jc w:val="center"/>
              <w:rPr>
                <w:sz w:val="20"/>
              </w:rPr>
            </w:pPr>
            <w:r>
              <w:rPr>
                <w:sz w:val="20"/>
              </w:rPr>
              <w:t>12 through 14 months</w:t>
            </w:r>
          </w:p>
        </w:tc>
        <w:tc>
          <w:tcPr>
            <w:tcW w:w="1056"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w:t>
            </w:r>
          </w:p>
        </w:tc>
        <w:tc>
          <w:tcPr>
            <w:tcW w:w="3510"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1</w:t>
            </w:r>
            <w:r>
              <w:rPr>
                <w:sz w:val="20"/>
                <w:vertAlign w:val="superscript"/>
              </w:rPr>
              <w:t>st</w:t>
            </w:r>
            <w:r>
              <w:rPr>
                <w:sz w:val="20"/>
              </w:rPr>
              <w:t xml:space="preserve"> visit</w:t>
            </w:r>
          </w:p>
        </w:tc>
      </w:tr>
      <w:tr w:rsidR="003A29CE" w:rsidRPr="00907BE1" w:rsidTr="00761C75">
        <w:trPr>
          <w:trHeight w:val="142"/>
        </w:trPr>
        <w:tc>
          <w:tcPr>
            <w:tcW w:w="2446" w:type="dxa"/>
            <w:vMerge/>
            <w:tcBorders>
              <w:top w:val="single" w:sz="4" w:space="0" w:color="auto"/>
              <w:left w:val="double" w:sz="6" w:space="0" w:color="000000"/>
              <w:bottom w:val="single" w:sz="4" w:space="0" w:color="auto"/>
              <w:right w:val="single" w:sz="4" w:space="0" w:color="auto"/>
            </w:tcBorders>
            <w:vAlign w:val="center"/>
            <w:hideMark/>
          </w:tcPr>
          <w:p w:rsidR="003A29CE" w:rsidRDefault="003A29CE" w:rsidP="00761C75">
            <w:pPr>
              <w:rPr>
                <w:sz w:val="20"/>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2</w:t>
            </w:r>
          </w:p>
        </w:tc>
        <w:tc>
          <w:tcPr>
            <w:tcW w:w="2168" w:type="dxa"/>
            <w:tcBorders>
              <w:top w:val="single" w:sz="4" w:space="0" w:color="auto"/>
              <w:left w:val="single" w:sz="4" w:space="0" w:color="auto"/>
              <w:bottom w:val="single" w:sz="4" w:space="0" w:color="auto"/>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w:t>
            </w:r>
          </w:p>
        </w:tc>
        <w:tc>
          <w:tcPr>
            <w:tcW w:w="3510" w:type="dxa"/>
            <w:tcBorders>
              <w:top w:val="single" w:sz="4" w:space="0" w:color="auto"/>
              <w:left w:val="single" w:sz="4" w:space="0" w:color="auto"/>
              <w:bottom w:val="single" w:sz="4" w:space="0" w:color="auto"/>
              <w:right w:val="double" w:sz="6" w:space="0" w:color="000000"/>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2 months after the previous dose</w:t>
            </w:r>
          </w:p>
        </w:tc>
      </w:tr>
      <w:tr w:rsidR="003A29CE" w:rsidRPr="00907BE1" w:rsidTr="00761C75">
        <w:trPr>
          <w:trHeight w:val="539"/>
        </w:trPr>
        <w:tc>
          <w:tcPr>
            <w:tcW w:w="2446" w:type="dxa"/>
            <w:tcBorders>
              <w:top w:val="single" w:sz="4" w:space="0" w:color="auto"/>
              <w:left w:val="double" w:sz="6" w:space="0" w:color="000000"/>
              <w:bottom w:val="double" w:sz="6" w:space="0" w:color="000000"/>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76" w:lineRule="auto"/>
              <w:jc w:val="center"/>
              <w:rPr>
                <w:sz w:val="20"/>
              </w:rPr>
            </w:pPr>
            <w:r>
              <w:rPr>
                <w:sz w:val="20"/>
              </w:rPr>
              <w:t>15 through 59 months</w:t>
            </w:r>
          </w:p>
        </w:tc>
        <w:tc>
          <w:tcPr>
            <w:tcW w:w="1056" w:type="dxa"/>
            <w:tcBorders>
              <w:top w:val="single" w:sz="4" w:space="0" w:color="auto"/>
              <w:left w:val="single" w:sz="4" w:space="0" w:color="auto"/>
              <w:bottom w:val="double" w:sz="6" w:space="0" w:color="000000"/>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1</w:t>
            </w:r>
          </w:p>
        </w:tc>
        <w:tc>
          <w:tcPr>
            <w:tcW w:w="2168" w:type="dxa"/>
            <w:tcBorders>
              <w:top w:val="single" w:sz="4" w:space="0" w:color="auto"/>
              <w:left w:val="single" w:sz="4" w:space="0" w:color="auto"/>
              <w:bottom w:val="double" w:sz="6" w:space="0" w:color="000000"/>
              <w:right w:val="single" w:sz="4" w:space="0" w:color="auto"/>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w:t>
            </w:r>
          </w:p>
        </w:tc>
        <w:tc>
          <w:tcPr>
            <w:tcW w:w="3510" w:type="dxa"/>
            <w:tcBorders>
              <w:top w:val="single" w:sz="4" w:space="0" w:color="auto"/>
              <w:left w:val="single" w:sz="4" w:space="0" w:color="auto"/>
              <w:bottom w:val="double" w:sz="6" w:space="0" w:color="000000"/>
              <w:right w:val="double" w:sz="6" w:space="0" w:color="000000"/>
            </w:tcBorders>
            <w:vAlign w:val="center"/>
            <w:hideMark/>
          </w:tcPr>
          <w:p w:rsidR="003A29CE" w:rsidRDefault="003A29CE" w:rsidP="00761C75">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40" w:after="40" w:line="276" w:lineRule="auto"/>
              <w:jc w:val="center"/>
              <w:rPr>
                <w:sz w:val="20"/>
              </w:rPr>
            </w:pPr>
            <w:r>
              <w:rPr>
                <w:sz w:val="20"/>
              </w:rPr>
              <w:t>1</w:t>
            </w:r>
            <w:r>
              <w:rPr>
                <w:sz w:val="20"/>
                <w:vertAlign w:val="superscript"/>
              </w:rPr>
              <w:t>st</w:t>
            </w:r>
            <w:r>
              <w:rPr>
                <w:sz w:val="20"/>
              </w:rPr>
              <w:t xml:space="preserve"> visit</w:t>
            </w:r>
          </w:p>
        </w:tc>
      </w:tr>
    </w:tbl>
    <w:p w:rsidR="003A29CE" w:rsidRDefault="003A29CE" w:rsidP="003A29CE">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60"/>
        <w:rPr>
          <w:sz w:val="18"/>
          <w:szCs w:val="18"/>
        </w:rPr>
      </w:pPr>
      <w:r>
        <w:rPr>
          <w:sz w:val="16"/>
          <w:szCs w:val="16"/>
        </w:rPr>
        <w:tab/>
      </w:r>
      <w:r>
        <w:rPr>
          <w:sz w:val="18"/>
          <w:szCs w:val="18"/>
          <w:vertAlign w:val="superscript"/>
        </w:rPr>
        <w:t>1</w:t>
      </w:r>
      <w:r>
        <w:rPr>
          <w:sz w:val="18"/>
          <w:szCs w:val="18"/>
        </w:rPr>
        <w:t xml:space="preserve"> When feasible, use the same vaccine for doses 1 – 2.</w:t>
      </w:r>
    </w:p>
    <w:p w:rsidR="003A29CE" w:rsidRDefault="003A29CE" w:rsidP="003A29CE">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60"/>
        <w:rPr>
          <w:sz w:val="20"/>
        </w:rPr>
      </w:pPr>
    </w:p>
    <w:p w:rsidR="003A29CE" w:rsidRDefault="003A29CE" w:rsidP="003A29CE">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before="60"/>
        <w:rPr>
          <w:sz w:val="20"/>
        </w:rPr>
      </w:pPr>
    </w:p>
    <w:p w:rsidR="003A29CE" w:rsidRPr="00907BE1" w:rsidRDefault="003A29CE" w:rsidP="003A29CE">
      <w:pPr>
        <w:keepNext/>
        <w:keepLines/>
        <w:autoSpaceDE w:val="0"/>
        <w:autoSpaceDN w:val="0"/>
        <w:adjustRightInd w:val="0"/>
        <w:spacing w:after="120"/>
        <w:rPr>
          <w:rFonts w:eastAsia="Calibri"/>
          <w:b/>
          <w:color w:val="auto"/>
          <w:szCs w:val="24"/>
        </w:rPr>
      </w:pPr>
      <w:r w:rsidRPr="00E21BBD">
        <w:rPr>
          <w:rFonts w:eastAsia="Calibri"/>
          <w:b/>
          <w:color w:val="auto"/>
          <w:szCs w:val="24"/>
          <w:u w:val="single"/>
        </w:rPr>
        <w:t>Routine vaccination</w:t>
      </w:r>
    </w:p>
    <w:p w:rsidR="003A29CE" w:rsidRDefault="003A29CE" w:rsidP="003A29CE">
      <w:pPr>
        <w:pStyle w:val="ListParagraph"/>
        <w:numPr>
          <w:ilvl w:val="0"/>
          <w:numId w:val="4"/>
        </w:numPr>
        <w:autoSpaceDE w:val="0"/>
        <w:autoSpaceDN w:val="0"/>
        <w:adjustRightInd w:val="0"/>
        <w:spacing w:before="60" w:after="60"/>
        <w:rPr>
          <w:rFonts w:eastAsia="MyriadPro-Regular"/>
          <w:color w:val="auto"/>
          <w:szCs w:val="24"/>
        </w:rPr>
      </w:pPr>
      <w:r>
        <w:rPr>
          <w:rFonts w:eastAsia="MyriadPro-Regular"/>
          <w:color w:val="auto"/>
          <w:szCs w:val="24"/>
        </w:rPr>
        <w:t>Administer a 2- or 3-dose Hib vaccine primary series and a booster dose (dose 3 or 4 depending on vaccine used in primary series) at age 12 through 15 months to complete a full Hib vaccine series.</w:t>
      </w:r>
    </w:p>
    <w:p w:rsidR="003A29CE" w:rsidRDefault="003A29CE" w:rsidP="003A29CE">
      <w:pPr>
        <w:pStyle w:val="ListParagraph"/>
        <w:numPr>
          <w:ilvl w:val="0"/>
          <w:numId w:val="4"/>
        </w:numPr>
        <w:autoSpaceDE w:val="0"/>
        <w:autoSpaceDN w:val="0"/>
        <w:adjustRightInd w:val="0"/>
        <w:spacing w:before="60" w:after="60"/>
        <w:rPr>
          <w:rFonts w:eastAsia="MyriadPro-Regular"/>
          <w:color w:val="auto"/>
          <w:szCs w:val="24"/>
        </w:rPr>
      </w:pPr>
      <w:r>
        <w:rPr>
          <w:rFonts w:eastAsia="MyriadPro-Regular"/>
          <w:color w:val="auto"/>
          <w:szCs w:val="24"/>
        </w:rPr>
        <w:t xml:space="preserve">The primary series with </w:t>
      </w:r>
      <w:proofErr w:type="spellStart"/>
      <w:r w:rsidRPr="003A29CE">
        <w:rPr>
          <w:rFonts w:eastAsia="MyriadPro-Regular"/>
          <w:b/>
          <w:color w:val="auto"/>
          <w:szCs w:val="24"/>
        </w:rPr>
        <w:t>ActHIB</w:t>
      </w:r>
      <w:proofErr w:type="spellEnd"/>
      <w:r>
        <w:rPr>
          <w:rFonts w:eastAsia="MyriadPro-Regular"/>
          <w:color w:val="auto"/>
          <w:szCs w:val="24"/>
          <w:vertAlign w:val="superscript"/>
        </w:rPr>
        <w:t>®</w:t>
      </w:r>
      <w:r>
        <w:rPr>
          <w:rFonts w:eastAsia="MyriadPro-Regular"/>
          <w:color w:val="auto"/>
          <w:szCs w:val="24"/>
        </w:rPr>
        <w:t>, HIBERIX</w:t>
      </w:r>
      <w:r w:rsidRPr="002E654D">
        <w:rPr>
          <w:rFonts w:eastAsia="MyriadPro-Regular"/>
          <w:color w:val="auto"/>
          <w:szCs w:val="24"/>
          <w:vertAlign w:val="superscript"/>
        </w:rPr>
        <w:t>®</w:t>
      </w:r>
      <w:r>
        <w:rPr>
          <w:rFonts w:eastAsia="MyriadPro-Regular"/>
          <w:color w:val="auto"/>
          <w:szCs w:val="24"/>
        </w:rPr>
        <w:t>, MENHIBRIX</w:t>
      </w:r>
      <w:r w:rsidRPr="00E21BBD">
        <w:rPr>
          <w:rFonts w:eastAsia="MyriadPro-Regular"/>
          <w:color w:val="auto"/>
          <w:szCs w:val="24"/>
          <w:vertAlign w:val="superscript"/>
        </w:rPr>
        <w:t>®</w:t>
      </w:r>
      <w:r>
        <w:rPr>
          <w:rFonts w:eastAsia="MyriadPro-Regular"/>
          <w:color w:val="auto"/>
          <w:szCs w:val="24"/>
        </w:rPr>
        <w:t xml:space="preserve">, or </w:t>
      </w:r>
      <w:r>
        <w:rPr>
          <w:rFonts w:eastAsia="MyriadPro-Regular"/>
          <w:color w:val="auto"/>
          <w:szCs w:val="24"/>
        </w:rPr>
        <w:t>PENTACEL</w:t>
      </w:r>
      <w:r>
        <w:rPr>
          <w:rFonts w:eastAsia="MyriadPro-Regular"/>
          <w:color w:val="auto"/>
          <w:szCs w:val="24"/>
          <w:vertAlign w:val="superscript"/>
        </w:rPr>
        <w:t>®</w:t>
      </w:r>
      <w:r>
        <w:rPr>
          <w:rFonts w:eastAsia="MyriadPro-Regular"/>
          <w:color w:val="auto"/>
          <w:szCs w:val="24"/>
        </w:rPr>
        <w:t xml:space="preserve"> consists of three doses and should be administered at 2, 4, and 6 months of age.  The primary series with </w:t>
      </w:r>
      <w:proofErr w:type="spellStart"/>
      <w:r w:rsidRPr="003A29CE">
        <w:rPr>
          <w:rFonts w:eastAsia="MyriadPro-Regular"/>
          <w:b/>
          <w:color w:val="auto"/>
          <w:szCs w:val="24"/>
        </w:rPr>
        <w:t>PedvaxHIB</w:t>
      </w:r>
      <w:proofErr w:type="spellEnd"/>
      <w:r>
        <w:rPr>
          <w:rFonts w:eastAsia="MyriadPro-Regular"/>
          <w:color w:val="auto"/>
          <w:szCs w:val="24"/>
          <w:vertAlign w:val="superscript"/>
        </w:rPr>
        <w:t>®</w:t>
      </w:r>
      <w:r>
        <w:rPr>
          <w:rFonts w:eastAsia="MyriadPro-Regular"/>
          <w:color w:val="auto"/>
          <w:szCs w:val="24"/>
        </w:rPr>
        <w:t xml:space="preserve"> or COMVAX</w:t>
      </w:r>
      <w:r w:rsidRPr="003A29CE">
        <w:rPr>
          <w:rFonts w:eastAsia="MyriadPro-Regular"/>
          <w:color w:val="auto"/>
          <w:szCs w:val="24"/>
          <w:vertAlign w:val="superscript"/>
        </w:rPr>
        <w:t>®</w:t>
      </w:r>
      <w:r>
        <w:rPr>
          <w:rFonts w:eastAsia="MyriadPro-Regular"/>
          <w:color w:val="auto"/>
          <w:szCs w:val="24"/>
        </w:rPr>
        <w:t xml:space="preserve"> consists of </w:t>
      </w:r>
      <w:proofErr w:type="gramStart"/>
      <w:r>
        <w:rPr>
          <w:rFonts w:eastAsia="MyriadPro-Regular"/>
          <w:color w:val="auto"/>
          <w:szCs w:val="24"/>
        </w:rPr>
        <w:t>2</w:t>
      </w:r>
      <w:proofErr w:type="gramEnd"/>
      <w:r>
        <w:rPr>
          <w:rFonts w:eastAsia="MyriadPro-Regular"/>
          <w:color w:val="auto"/>
          <w:szCs w:val="24"/>
        </w:rPr>
        <w:t xml:space="preserve"> doses and should be administered at 2 and 4 months of age; a dose at age 6 months is not indicated.</w:t>
      </w:r>
    </w:p>
    <w:p w:rsidR="003A29CE" w:rsidRDefault="003A29CE" w:rsidP="003A29CE">
      <w:pPr>
        <w:pStyle w:val="ListParagraph"/>
        <w:numPr>
          <w:ilvl w:val="0"/>
          <w:numId w:val="4"/>
        </w:numPr>
        <w:autoSpaceDE w:val="0"/>
        <w:autoSpaceDN w:val="0"/>
        <w:adjustRightInd w:val="0"/>
        <w:spacing w:before="60" w:after="60"/>
        <w:rPr>
          <w:rFonts w:eastAsia="MyriadPro-Regular"/>
          <w:color w:val="auto"/>
          <w:szCs w:val="24"/>
        </w:rPr>
      </w:pPr>
      <w:r w:rsidRPr="00F50012">
        <w:rPr>
          <w:rFonts w:eastAsia="MyriadPro-Regular"/>
          <w:color w:val="auto"/>
          <w:szCs w:val="24"/>
        </w:rPr>
        <w:t xml:space="preserve">One booster dose (dose 3 or 4 depending on vaccine used in primary series) of any Hib vaccine should be administered at age 12 through 15 months.  </w:t>
      </w:r>
    </w:p>
    <w:p w:rsidR="003A29CE" w:rsidRDefault="003A29CE" w:rsidP="003A29CE">
      <w:pPr>
        <w:pStyle w:val="ListParagraph"/>
        <w:numPr>
          <w:ilvl w:val="0"/>
          <w:numId w:val="4"/>
        </w:numPr>
        <w:autoSpaceDE w:val="0"/>
        <w:autoSpaceDN w:val="0"/>
        <w:adjustRightInd w:val="0"/>
        <w:spacing w:before="60" w:after="60"/>
        <w:rPr>
          <w:rFonts w:eastAsia="MyriadPro-Regular"/>
          <w:color w:val="auto"/>
          <w:szCs w:val="24"/>
        </w:rPr>
      </w:pPr>
      <w:r w:rsidRPr="003A6DCA">
        <w:rPr>
          <w:rFonts w:eastAsia="MyriadPro-Regular"/>
          <w:color w:val="auto"/>
          <w:szCs w:val="24"/>
        </w:rPr>
        <w:t xml:space="preserve">Licensed monovalent Hib conjugate vaccines </w:t>
      </w:r>
      <w:proofErr w:type="gramStart"/>
      <w:r w:rsidRPr="003A6DCA">
        <w:rPr>
          <w:rFonts w:eastAsia="MyriadPro-Regular"/>
          <w:color w:val="auto"/>
          <w:szCs w:val="24"/>
        </w:rPr>
        <w:t>are considered</w:t>
      </w:r>
      <w:proofErr w:type="gramEnd"/>
      <w:r w:rsidRPr="003A6DCA">
        <w:rPr>
          <w:rFonts w:eastAsia="MyriadPro-Regular"/>
          <w:color w:val="auto"/>
          <w:szCs w:val="24"/>
        </w:rPr>
        <w:t xml:space="preserve"> interchangeable for the primary as well as the booster doses (dose 3 or 4, depending on vaccine type used for primary series),</w:t>
      </w:r>
      <w:r w:rsidRPr="00F50012">
        <w:t xml:space="preserve"> </w:t>
      </w:r>
      <w:hyperlink r:id="rId8" w:history="1">
        <w:r w:rsidRPr="00567592">
          <w:rPr>
            <w:color w:val="0000FF"/>
            <w:u w:val="single"/>
          </w:rPr>
          <w:t>http://www.cdc.gov/mmwr/preview/mmwrhtml/rr6301a1.htm</w:t>
        </w:r>
      </w:hyperlink>
      <w:r>
        <w:t>.</w:t>
      </w:r>
      <w:r w:rsidRPr="003A6DCA">
        <w:rPr>
          <w:rFonts w:eastAsia="MyriadPro-Regular"/>
          <w:color w:val="auto"/>
          <w:szCs w:val="24"/>
        </w:rPr>
        <w:t xml:space="preserve"> </w:t>
      </w:r>
    </w:p>
    <w:p w:rsidR="003A29CE" w:rsidRDefault="003A29CE" w:rsidP="003A29CE">
      <w:pPr>
        <w:pStyle w:val="ListParagraph"/>
        <w:numPr>
          <w:ilvl w:val="0"/>
          <w:numId w:val="4"/>
        </w:numPr>
        <w:autoSpaceDE w:val="0"/>
        <w:autoSpaceDN w:val="0"/>
        <w:adjustRightInd w:val="0"/>
        <w:spacing w:before="60" w:after="60"/>
        <w:rPr>
          <w:b/>
          <w:szCs w:val="24"/>
        </w:rPr>
      </w:pPr>
      <w:r w:rsidRPr="003A6DCA">
        <w:rPr>
          <w:szCs w:val="24"/>
        </w:rPr>
        <w:t xml:space="preserve">Data on the interchangeability of [Hib] combination [conjugate] vaccines with other [Hib] combination [conjugate] vaccines or with monovalent [Hib conjugate] vaccines are limited.  Whenever feasible, the same [Hib] combination [conjugate] vaccine should be used for the subsequent doses; however, if a different brand is administered, the dose should be considered valid and need not be repeated, </w:t>
      </w:r>
      <w:hyperlink r:id="rId9" w:history="1">
        <w:r w:rsidRPr="003A6DCA">
          <w:rPr>
            <w:rStyle w:val="Hyperlink"/>
            <w:szCs w:val="24"/>
          </w:rPr>
          <w:t>http://www.cdc.gov/mmwr/preview/mmwrhtml/rr6301a1.htm</w:t>
        </w:r>
      </w:hyperlink>
      <w:r w:rsidRPr="003A6DCA">
        <w:rPr>
          <w:szCs w:val="24"/>
        </w:rPr>
        <w:t>.</w:t>
      </w:r>
      <w:r>
        <w:rPr>
          <w:szCs w:val="24"/>
        </w:rPr>
        <w:br/>
      </w:r>
      <w:r>
        <w:rPr>
          <w:szCs w:val="24"/>
        </w:rPr>
        <w:br/>
        <w:t xml:space="preserve">NOTE:  </w:t>
      </w:r>
      <w:proofErr w:type="spellStart"/>
      <w:r>
        <w:rPr>
          <w:i/>
          <w:szCs w:val="24"/>
        </w:rPr>
        <w:t>Haemophilus</w:t>
      </w:r>
      <w:proofErr w:type="spellEnd"/>
      <w:r>
        <w:rPr>
          <w:i/>
          <w:szCs w:val="24"/>
        </w:rPr>
        <w:t xml:space="preserve"> </w:t>
      </w:r>
      <w:proofErr w:type="spellStart"/>
      <w:r>
        <w:rPr>
          <w:i/>
          <w:szCs w:val="24"/>
        </w:rPr>
        <w:t>influenzae</w:t>
      </w:r>
      <w:proofErr w:type="spellEnd"/>
      <w:r>
        <w:rPr>
          <w:szCs w:val="24"/>
        </w:rPr>
        <w:t xml:space="preserve"> type b (Hib) conjugate vaccine.  (Minimum age: 6 weeks for PRP-T [ACTHIB, </w:t>
      </w:r>
      <w:proofErr w:type="spellStart"/>
      <w:r>
        <w:rPr>
          <w:szCs w:val="24"/>
        </w:rPr>
        <w:t>DTaP</w:t>
      </w:r>
      <w:proofErr w:type="spellEnd"/>
      <w:r>
        <w:rPr>
          <w:szCs w:val="24"/>
        </w:rPr>
        <w:t>-IPV/Hib (</w:t>
      </w:r>
      <w:r>
        <w:rPr>
          <w:szCs w:val="24"/>
        </w:rPr>
        <w:t>PENTACEL</w:t>
      </w:r>
      <w:r>
        <w:rPr>
          <w:szCs w:val="24"/>
          <w:vertAlign w:val="superscript"/>
        </w:rPr>
        <w:t>®</w:t>
      </w:r>
      <w:r>
        <w:rPr>
          <w:szCs w:val="24"/>
        </w:rPr>
        <w:t>), HIBERIX</w:t>
      </w:r>
      <w:r w:rsidRPr="003A29CE">
        <w:rPr>
          <w:szCs w:val="24"/>
          <w:vertAlign w:val="superscript"/>
        </w:rPr>
        <w:t>®</w:t>
      </w:r>
      <w:r>
        <w:rPr>
          <w:szCs w:val="24"/>
        </w:rPr>
        <w:t xml:space="preserve"> and Hib-</w:t>
      </w:r>
      <w:proofErr w:type="spellStart"/>
      <w:r>
        <w:rPr>
          <w:szCs w:val="24"/>
        </w:rPr>
        <w:t>MenCY</w:t>
      </w:r>
      <w:proofErr w:type="spellEnd"/>
      <w:r>
        <w:rPr>
          <w:szCs w:val="24"/>
        </w:rPr>
        <w:t xml:space="preserve"> (MENHIBRIX</w:t>
      </w:r>
      <w:r>
        <w:rPr>
          <w:szCs w:val="24"/>
          <w:vertAlign w:val="superscript"/>
        </w:rPr>
        <w:t>®</w:t>
      </w:r>
      <w:r>
        <w:rPr>
          <w:szCs w:val="24"/>
        </w:rPr>
        <w:t>)], PRP-OMP [</w:t>
      </w:r>
      <w:proofErr w:type="spellStart"/>
      <w:r w:rsidRPr="003A29CE">
        <w:rPr>
          <w:b/>
          <w:szCs w:val="24"/>
        </w:rPr>
        <w:t>PedvaxHIB</w:t>
      </w:r>
      <w:proofErr w:type="spellEnd"/>
      <w:r>
        <w:rPr>
          <w:szCs w:val="24"/>
          <w:vertAlign w:val="superscript"/>
        </w:rPr>
        <w:t>®</w:t>
      </w:r>
      <w:r>
        <w:rPr>
          <w:szCs w:val="24"/>
        </w:rPr>
        <w:t xml:space="preserve"> or </w:t>
      </w:r>
      <w:r w:rsidRPr="003A29CE">
        <w:rPr>
          <w:b/>
          <w:szCs w:val="24"/>
        </w:rPr>
        <w:t>COMVAX</w:t>
      </w:r>
      <w:r w:rsidRPr="003A29CE">
        <w:rPr>
          <w:szCs w:val="24"/>
          <w:vertAlign w:val="superscript"/>
        </w:rPr>
        <w:t>®</w:t>
      </w:r>
      <w:r>
        <w:rPr>
          <w:szCs w:val="24"/>
        </w:rPr>
        <w:t>].</w:t>
      </w:r>
    </w:p>
    <w:p w:rsidR="003A29CE" w:rsidRDefault="003A29CE" w:rsidP="003A29CE">
      <w:pPr>
        <w:pStyle w:val="ListParagraph"/>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before="60" w:after="60"/>
        <w:contextualSpacing w:val="0"/>
        <w:rPr>
          <w:b/>
          <w:sz w:val="20"/>
        </w:rPr>
      </w:pPr>
    </w:p>
    <w:p w:rsidR="003A29CE" w:rsidRDefault="003A29CE" w:rsidP="003A29CE">
      <w:pPr>
        <w:rPr>
          <w:b/>
          <w:sz w:val="20"/>
        </w:rPr>
      </w:pPr>
    </w:p>
    <w:p w:rsidR="003A29CE" w:rsidRDefault="003A29CE" w:rsidP="003A29CE">
      <w:pPr>
        <w:outlineLvl w:val="3"/>
        <w:rPr>
          <w:b/>
          <w:bCs/>
          <w:color w:val="auto"/>
          <w:szCs w:val="24"/>
        </w:rPr>
      </w:pPr>
      <w:r w:rsidRPr="00E21BBD">
        <w:rPr>
          <w:b/>
          <w:bCs/>
          <w:color w:val="auto"/>
          <w:szCs w:val="24"/>
          <w:u w:val="single"/>
        </w:rPr>
        <w:t>Recommendations for Routine Vaccination</w:t>
      </w:r>
      <w:r>
        <w:rPr>
          <w:b/>
          <w:bCs/>
          <w:color w:val="auto"/>
          <w:szCs w:val="24"/>
        </w:rPr>
        <w:br/>
      </w:r>
      <w:hyperlink r:id="rId10" w:history="1">
        <w:r>
          <w:rPr>
            <w:rStyle w:val="Hyperlink"/>
            <w:szCs w:val="24"/>
          </w:rPr>
          <w:t>http://www.cdc.gov/mmwr/preview/mmwrhtml/rr6301a1.htm</w:t>
        </w:r>
      </w:hyperlink>
      <w:r>
        <w:rPr>
          <w:b/>
          <w:bCs/>
          <w:color w:val="auto"/>
          <w:szCs w:val="24"/>
        </w:rPr>
        <w:t xml:space="preserve"> </w:t>
      </w:r>
    </w:p>
    <w:p w:rsidR="003A29CE" w:rsidRDefault="003A29CE" w:rsidP="003A29CE">
      <w:pPr>
        <w:outlineLvl w:val="3"/>
        <w:rPr>
          <w:b/>
          <w:bCs/>
          <w:color w:val="auto"/>
          <w:szCs w:val="24"/>
        </w:rPr>
      </w:pPr>
    </w:p>
    <w:p w:rsidR="003A29CE" w:rsidRDefault="003A29CE" w:rsidP="003A29CE">
      <w:pPr>
        <w:pStyle w:val="ListParagraph"/>
        <w:numPr>
          <w:ilvl w:val="0"/>
          <w:numId w:val="12"/>
        </w:numPr>
        <w:rPr>
          <w:color w:val="auto"/>
          <w:szCs w:val="24"/>
        </w:rPr>
      </w:pPr>
      <w:r w:rsidRPr="00E21BBD">
        <w:rPr>
          <w:color w:val="auto"/>
          <w:szCs w:val="24"/>
        </w:rPr>
        <w:t>ACIP recommends routine administration of a conjugate Hib vaccine series (monovalent vaccine [</w:t>
      </w:r>
      <w:proofErr w:type="spellStart"/>
      <w:r w:rsidRPr="003A29CE">
        <w:rPr>
          <w:b/>
          <w:color w:val="auto"/>
          <w:szCs w:val="24"/>
        </w:rPr>
        <w:t>PedvaxHIB</w:t>
      </w:r>
      <w:proofErr w:type="spellEnd"/>
      <w:r>
        <w:rPr>
          <w:b/>
          <w:color w:val="auto"/>
          <w:szCs w:val="24"/>
          <w:vertAlign w:val="superscript"/>
        </w:rPr>
        <w:t>®</w:t>
      </w:r>
      <w:r w:rsidRPr="00E21BBD">
        <w:rPr>
          <w:color w:val="auto"/>
          <w:szCs w:val="24"/>
        </w:rPr>
        <w:t xml:space="preserve"> (PRP-OMP) or HIBERIX</w:t>
      </w:r>
      <w:r w:rsidRPr="003A29CE">
        <w:rPr>
          <w:color w:val="auto"/>
          <w:szCs w:val="24"/>
          <w:vertAlign w:val="superscript"/>
        </w:rPr>
        <w:t>®</w:t>
      </w:r>
      <w:r w:rsidRPr="00E21BBD">
        <w:rPr>
          <w:color w:val="auto"/>
          <w:szCs w:val="24"/>
        </w:rPr>
        <w:t xml:space="preserve"> or </w:t>
      </w:r>
      <w:proofErr w:type="spellStart"/>
      <w:r w:rsidRPr="003A29CE">
        <w:rPr>
          <w:b/>
          <w:color w:val="auto"/>
          <w:szCs w:val="24"/>
        </w:rPr>
        <w:t>ActHIB</w:t>
      </w:r>
      <w:proofErr w:type="spellEnd"/>
      <w:r>
        <w:rPr>
          <w:color w:val="auto"/>
          <w:szCs w:val="24"/>
          <w:vertAlign w:val="superscript"/>
        </w:rPr>
        <w:t>®</w:t>
      </w:r>
      <w:r w:rsidRPr="00E21BBD">
        <w:rPr>
          <w:color w:val="auto"/>
          <w:szCs w:val="24"/>
        </w:rPr>
        <w:t xml:space="preserve">, (PRP-T)] or Hib vaccine in combination with </w:t>
      </w:r>
      <w:proofErr w:type="spellStart"/>
      <w:r w:rsidRPr="00E21BBD">
        <w:rPr>
          <w:color w:val="auto"/>
          <w:szCs w:val="24"/>
        </w:rPr>
        <w:t>HepB</w:t>
      </w:r>
      <w:proofErr w:type="spellEnd"/>
      <w:r w:rsidRPr="00E21BBD">
        <w:rPr>
          <w:color w:val="auto"/>
          <w:szCs w:val="24"/>
        </w:rPr>
        <w:t xml:space="preserve"> [</w:t>
      </w:r>
      <w:r w:rsidRPr="003A29CE">
        <w:rPr>
          <w:b/>
          <w:color w:val="auto"/>
          <w:szCs w:val="24"/>
        </w:rPr>
        <w:t>COMVAX</w:t>
      </w:r>
      <w:r>
        <w:rPr>
          <w:color w:val="auto"/>
          <w:szCs w:val="24"/>
          <w:vertAlign w:val="superscript"/>
        </w:rPr>
        <w:t>®</w:t>
      </w:r>
      <w:r w:rsidRPr="00E21BBD">
        <w:rPr>
          <w:color w:val="auto"/>
          <w:szCs w:val="24"/>
        </w:rPr>
        <w:t xml:space="preserve">], </w:t>
      </w:r>
      <w:proofErr w:type="spellStart"/>
      <w:r w:rsidRPr="00E21BBD">
        <w:rPr>
          <w:color w:val="auto"/>
          <w:szCs w:val="24"/>
        </w:rPr>
        <w:t>DTaP</w:t>
      </w:r>
      <w:proofErr w:type="spellEnd"/>
      <w:r w:rsidRPr="00E21BBD">
        <w:rPr>
          <w:color w:val="auto"/>
          <w:szCs w:val="24"/>
        </w:rPr>
        <w:t>/IPV [</w:t>
      </w:r>
      <w:r w:rsidRPr="00E21BBD">
        <w:rPr>
          <w:color w:val="auto"/>
          <w:szCs w:val="24"/>
        </w:rPr>
        <w:t>PENTACEL</w:t>
      </w:r>
      <w:r>
        <w:rPr>
          <w:color w:val="auto"/>
          <w:szCs w:val="24"/>
          <w:vertAlign w:val="superscript"/>
        </w:rPr>
        <w:t>®</w:t>
      </w:r>
      <w:r w:rsidRPr="00E21BBD">
        <w:rPr>
          <w:color w:val="auto"/>
          <w:szCs w:val="24"/>
        </w:rPr>
        <w:t xml:space="preserve">], or </w:t>
      </w:r>
      <w:proofErr w:type="spellStart"/>
      <w:r w:rsidRPr="00E21BBD">
        <w:rPr>
          <w:color w:val="auto"/>
          <w:szCs w:val="24"/>
        </w:rPr>
        <w:t>MenCY</w:t>
      </w:r>
      <w:proofErr w:type="spellEnd"/>
      <w:r w:rsidRPr="00E21BBD">
        <w:rPr>
          <w:color w:val="auto"/>
          <w:szCs w:val="24"/>
        </w:rPr>
        <w:t xml:space="preserve"> [MENHIBRIX</w:t>
      </w:r>
      <w:r>
        <w:rPr>
          <w:color w:val="auto"/>
          <w:szCs w:val="24"/>
          <w:vertAlign w:val="superscript"/>
        </w:rPr>
        <w:t>®</w:t>
      </w:r>
      <w:r w:rsidRPr="00E21BBD">
        <w:rPr>
          <w:color w:val="auto"/>
          <w:szCs w:val="24"/>
        </w:rPr>
        <w:t xml:space="preserve">]) beginning at age 2 months.  </w:t>
      </w:r>
    </w:p>
    <w:p w:rsidR="003A29CE" w:rsidRDefault="003A29CE" w:rsidP="003A29CE">
      <w:pPr>
        <w:pStyle w:val="ListParagraph"/>
        <w:numPr>
          <w:ilvl w:val="0"/>
          <w:numId w:val="12"/>
        </w:numPr>
        <w:rPr>
          <w:color w:val="auto"/>
          <w:szCs w:val="24"/>
        </w:rPr>
      </w:pPr>
      <w:r w:rsidRPr="00E21BBD">
        <w:rPr>
          <w:color w:val="auto"/>
          <w:szCs w:val="24"/>
        </w:rPr>
        <w:t xml:space="preserve">Infants aged 2 through 6 months should receive a 3-dose series of Hib (PRP-T as </w:t>
      </w:r>
      <w:proofErr w:type="spellStart"/>
      <w:r w:rsidRPr="003A29CE">
        <w:rPr>
          <w:b/>
          <w:color w:val="auto"/>
          <w:szCs w:val="24"/>
        </w:rPr>
        <w:t>ActHIB</w:t>
      </w:r>
      <w:proofErr w:type="spellEnd"/>
      <w:r>
        <w:rPr>
          <w:color w:val="auto"/>
          <w:szCs w:val="24"/>
          <w:vertAlign w:val="superscript"/>
        </w:rPr>
        <w:t>®</w:t>
      </w:r>
      <w:r w:rsidRPr="00E21BBD">
        <w:rPr>
          <w:color w:val="auto"/>
          <w:szCs w:val="24"/>
        </w:rPr>
        <w:t xml:space="preserve">, </w:t>
      </w:r>
      <w:r w:rsidRPr="00E21BBD">
        <w:rPr>
          <w:color w:val="auto"/>
          <w:szCs w:val="24"/>
        </w:rPr>
        <w:t>PENTACEL</w:t>
      </w:r>
      <w:r>
        <w:rPr>
          <w:color w:val="auto"/>
          <w:szCs w:val="24"/>
          <w:vertAlign w:val="superscript"/>
        </w:rPr>
        <w:t>®</w:t>
      </w:r>
      <w:r w:rsidRPr="00E21BBD">
        <w:rPr>
          <w:color w:val="auto"/>
          <w:szCs w:val="24"/>
        </w:rPr>
        <w:t>, HIBERIX</w:t>
      </w:r>
      <w:r>
        <w:rPr>
          <w:color w:val="auto"/>
          <w:szCs w:val="24"/>
          <w:vertAlign w:val="superscript"/>
        </w:rPr>
        <w:t>®</w:t>
      </w:r>
      <w:r w:rsidRPr="00E21BBD">
        <w:rPr>
          <w:color w:val="auto"/>
          <w:szCs w:val="24"/>
        </w:rPr>
        <w:t xml:space="preserve"> or MENHIBRIX</w:t>
      </w:r>
      <w:r>
        <w:rPr>
          <w:color w:val="auto"/>
          <w:szCs w:val="24"/>
          <w:vertAlign w:val="superscript"/>
        </w:rPr>
        <w:t>®</w:t>
      </w:r>
      <w:r w:rsidRPr="00E21BBD">
        <w:rPr>
          <w:color w:val="auto"/>
          <w:szCs w:val="24"/>
        </w:rPr>
        <w:t xml:space="preserve">) or a 2-dose series of Hib (PRP-OMP as </w:t>
      </w:r>
      <w:proofErr w:type="spellStart"/>
      <w:r w:rsidRPr="003A29CE">
        <w:rPr>
          <w:b/>
          <w:color w:val="auto"/>
          <w:szCs w:val="24"/>
        </w:rPr>
        <w:t>PedvaxHIB</w:t>
      </w:r>
      <w:proofErr w:type="spellEnd"/>
      <w:r>
        <w:rPr>
          <w:b/>
          <w:color w:val="auto"/>
          <w:szCs w:val="24"/>
          <w:vertAlign w:val="superscript"/>
        </w:rPr>
        <w:t>®</w:t>
      </w:r>
      <w:r w:rsidRPr="00E21BBD">
        <w:rPr>
          <w:color w:val="auto"/>
          <w:szCs w:val="24"/>
        </w:rPr>
        <w:t xml:space="preserve"> or </w:t>
      </w:r>
      <w:r w:rsidRPr="003A29CE">
        <w:rPr>
          <w:b/>
          <w:color w:val="auto"/>
          <w:szCs w:val="24"/>
        </w:rPr>
        <w:t>COMVAX</w:t>
      </w:r>
      <w:r>
        <w:rPr>
          <w:color w:val="auto"/>
          <w:szCs w:val="24"/>
          <w:vertAlign w:val="superscript"/>
        </w:rPr>
        <w:t>®</w:t>
      </w:r>
      <w:r w:rsidRPr="00E21BBD">
        <w:rPr>
          <w:color w:val="auto"/>
          <w:szCs w:val="24"/>
        </w:rPr>
        <w:t xml:space="preserve">).  The first dose </w:t>
      </w:r>
      <w:proofErr w:type="gramStart"/>
      <w:r w:rsidRPr="00E21BBD">
        <w:rPr>
          <w:color w:val="auto"/>
          <w:szCs w:val="24"/>
        </w:rPr>
        <w:t>can be administered</w:t>
      </w:r>
      <w:proofErr w:type="gramEnd"/>
      <w:r w:rsidRPr="00E21BBD">
        <w:rPr>
          <w:color w:val="auto"/>
          <w:szCs w:val="24"/>
        </w:rPr>
        <w:t xml:space="preserve"> as early as age 6 weeks.  </w:t>
      </w:r>
    </w:p>
    <w:p w:rsidR="003A29CE" w:rsidRPr="00E21BBD" w:rsidRDefault="003A29CE" w:rsidP="003A29CE">
      <w:pPr>
        <w:pStyle w:val="ListParagraph"/>
        <w:numPr>
          <w:ilvl w:val="0"/>
          <w:numId w:val="12"/>
        </w:numPr>
        <w:rPr>
          <w:color w:val="auto"/>
          <w:szCs w:val="24"/>
        </w:rPr>
      </w:pPr>
      <w:proofErr w:type="gramStart"/>
      <w:r w:rsidRPr="00E21BBD">
        <w:rPr>
          <w:color w:val="auto"/>
          <w:szCs w:val="24"/>
        </w:rPr>
        <w:t>A booster dose (which will be dose 3 or 4 depending on vaccine type used in primary series) of any licensed conjugate Hib vaccine (monovalent vaccine [</w:t>
      </w:r>
      <w:proofErr w:type="spellStart"/>
      <w:r w:rsidRPr="003A29CE">
        <w:rPr>
          <w:b/>
          <w:color w:val="auto"/>
          <w:szCs w:val="24"/>
        </w:rPr>
        <w:t>PedvaxHIB</w:t>
      </w:r>
      <w:proofErr w:type="spellEnd"/>
      <w:r>
        <w:rPr>
          <w:color w:val="auto"/>
          <w:szCs w:val="24"/>
        </w:rPr>
        <w:t>®</w:t>
      </w:r>
      <w:r w:rsidRPr="00E21BBD">
        <w:rPr>
          <w:color w:val="auto"/>
          <w:szCs w:val="24"/>
        </w:rPr>
        <w:t xml:space="preserve"> </w:t>
      </w:r>
      <w:r>
        <w:rPr>
          <w:color w:val="auto"/>
          <w:szCs w:val="24"/>
        </w:rPr>
        <w:br/>
      </w:r>
      <w:r w:rsidRPr="00E21BBD">
        <w:rPr>
          <w:color w:val="auto"/>
          <w:szCs w:val="24"/>
        </w:rPr>
        <w:t xml:space="preserve">(PRP-OMP), </w:t>
      </w:r>
      <w:proofErr w:type="spellStart"/>
      <w:r w:rsidRPr="003A29CE">
        <w:rPr>
          <w:b/>
          <w:color w:val="auto"/>
          <w:szCs w:val="24"/>
        </w:rPr>
        <w:t>ActHIB</w:t>
      </w:r>
      <w:proofErr w:type="spellEnd"/>
      <w:r>
        <w:rPr>
          <w:color w:val="auto"/>
          <w:szCs w:val="24"/>
          <w:vertAlign w:val="superscript"/>
        </w:rPr>
        <w:t>®</w:t>
      </w:r>
      <w:r w:rsidRPr="00E21BBD">
        <w:rPr>
          <w:color w:val="auto"/>
          <w:szCs w:val="24"/>
        </w:rPr>
        <w:t xml:space="preserve"> (PRP-T), or HIBERIX</w:t>
      </w:r>
      <w:r>
        <w:rPr>
          <w:color w:val="auto"/>
          <w:szCs w:val="24"/>
          <w:vertAlign w:val="superscript"/>
        </w:rPr>
        <w:t>®</w:t>
      </w:r>
      <w:r w:rsidRPr="00E21BBD">
        <w:rPr>
          <w:color w:val="auto"/>
          <w:szCs w:val="24"/>
        </w:rPr>
        <w:t xml:space="preserve"> (PRP-T)] or Hib vaccine in combination with </w:t>
      </w:r>
      <w:proofErr w:type="spellStart"/>
      <w:r w:rsidRPr="00E21BBD">
        <w:rPr>
          <w:color w:val="auto"/>
          <w:szCs w:val="24"/>
        </w:rPr>
        <w:t>HepB</w:t>
      </w:r>
      <w:proofErr w:type="spellEnd"/>
      <w:r w:rsidRPr="00E21BBD">
        <w:rPr>
          <w:color w:val="auto"/>
          <w:szCs w:val="24"/>
        </w:rPr>
        <w:t xml:space="preserve"> [</w:t>
      </w:r>
      <w:r w:rsidRPr="003A29CE">
        <w:rPr>
          <w:b/>
          <w:color w:val="auto"/>
          <w:szCs w:val="24"/>
        </w:rPr>
        <w:t>COMVAX</w:t>
      </w:r>
      <w:r>
        <w:rPr>
          <w:color w:val="auto"/>
          <w:szCs w:val="24"/>
          <w:vertAlign w:val="superscript"/>
        </w:rPr>
        <w:t>®</w:t>
      </w:r>
      <w:r w:rsidRPr="00E21BBD">
        <w:rPr>
          <w:color w:val="auto"/>
          <w:szCs w:val="24"/>
        </w:rPr>
        <w:t xml:space="preserve">] or </w:t>
      </w:r>
      <w:proofErr w:type="spellStart"/>
      <w:r w:rsidRPr="00E21BBD">
        <w:rPr>
          <w:color w:val="auto"/>
          <w:szCs w:val="24"/>
        </w:rPr>
        <w:t>DTaP</w:t>
      </w:r>
      <w:proofErr w:type="spellEnd"/>
      <w:r w:rsidRPr="00E21BBD">
        <w:rPr>
          <w:color w:val="auto"/>
          <w:szCs w:val="24"/>
        </w:rPr>
        <w:t>/IPV [</w:t>
      </w:r>
      <w:r w:rsidRPr="00E21BBD">
        <w:rPr>
          <w:color w:val="auto"/>
          <w:szCs w:val="24"/>
        </w:rPr>
        <w:t>PENTACEL</w:t>
      </w:r>
      <w:r>
        <w:rPr>
          <w:color w:val="auto"/>
          <w:szCs w:val="24"/>
          <w:vertAlign w:val="superscript"/>
        </w:rPr>
        <w:t>®</w:t>
      </w:r>
      <w:r w:rsidRPr="00E21BBD">
        <w:rPr>
          <w:color w:val="auto"/>
          <w:szCs w:val="24"/>
        </w:rPr>
        <w:t xml:space="preserve">] or </w:t>
      </w:r>
      <w:proofErr w:type="spellStart"/>
      <w:r w:rsidRPr="00E21BBD">
        <w:rPr>
          <w:color w:val="auto"/>
          <w:szCs w:val="24"/>
        </w:rPr>
        <w:t>MenCY</w:t>
      </w:r>
      <w:proofErr w:type="spellEnd"/>
      <w:r w:rsidRPr="00E21BBD">
        <w:rPr>
          <w:color w:val="auto"/>
          <w:szCs w:val="24"/>
        </w:rPr>
        <w:t xml:space="preserve"> [MENHIBRIX</w:t>
      </w:r>
      <w:r w:rsidR="006D481E">
        <w:rPr>
          <w:color w:val="auto"/>
          <w:szCs w:val="24"/>
          <w:vertAlign w:val="superscript"/>
        </w:rPr>
        <w:t>®</w:t>
      </w:r>
      <w:r w:rsidRPr="00E21BBD">
        <w:rPr>
          <w:color w:val="auto"/>
          <w:szCs w:val="24"/>
        </w:rPr>
        <w:t>]) is recommended at age 12 through 15 months and at least 8 weeks after the most recent Hib</w:t>
      </w:r>
      <w:r>
        <w:rPr>
          <w:color w:val="auto"/>
          <w:szCs w:val="24"/>
        </w:rPr>
        <w:t> </w:t>
      </w:r>
      <w:r w:rsidRPr="00E21BBD">
        <w:rPr>
          <w:color w:val="auto"/>
          <w:szCs w:val="24"/>
        </w:rPr>
        <w:t>vaccination).</w:t>
      </w:r>
      <w:proofErr w:type="gramEnd"/>
    </w:p>
    <w:p w:rsidR="003A29CE" w:rsidRDefault="003A29CE" w:rsidP="003A29CE">
      <w:pPr>
        <w:rPr>
          <w:color w:val="auto"/>
          <w:szCs w:val="24"/>
        </w:rPr>
      </w:pPr>
    </w:p>
    <w:p w:rsidR="003A29CE" w:rsidRDefault="003A29CE" w:rsidP="003A29CE">
      <w:pPr>
        <w:rPr>
          <w:color w:val="auto"/>
          <w:szCs w:val="24"/>
        </w:rPr>
      </w:pPr>
    </w:p>
    <w:p w:rsidR="003A29CE" w:rsidRPr="00C96863" w:rsidRDefault="003A29CE" w:rsidP="003A29CE">
      <w:pPr>
        <w:outlineLvl w:val="3"/>
        <w:rPr>
          <w:bCs/>
          <w:color w:val="auto"/>
          <w:szCs w:val="24"/>
        </w:rPr>
      </w:pPr>
      <w:r w:rsidRPr="00E21BBD">
        <w:rPr>
          <w:b/>
          <w:bCs/>
          <w:color w:val="auto"/>
          <w:szCs w:val="24"/>
          <w:u w:val="single"/>
        </w:rPr>
        <w:lastRenderedPageBreak/>
        <w:t>Guidance for Routine Vaccination</w:t>
      </w:r>
      <w:r>
        <w:rPr>
          <w:b/>
          <w:bCs/>
          <w:color w:val="auto"/>
          <w:szCs w:val="24"/>
        </w:rPr>
        <w:br/>
      </w:r>
      <w:hyperlink r:id="rId11" w:history="1">
        <w:r>
          <w:rPr>
            <w:rStyle w:val="Hyperlink"/>
          </w:rPr>
          <w:t>http://www.cdc.gov/mmwr/preview/mmwrhtml/rr6301a1.htm</w:t>
        </w:r>
      </w:hyperlink>
      <w:r>
        <w:rPr>
          <w:bCs/>
          <w:color w:val="auto"/>
          <w:szCs w:val="24"/>
        </w:rPr>
        <w:t xml:space="preserve"> </w:t>
      </w:r>
    </w:p>
    <w:p w:rsidR="003A29CE" w:rsidRPr="00E21BBD" w:rsidRDefault="003A29CE" w:rsidP="003A29CE">
      <w:pPr>
        <w:pStyle w:val="ListParagraph"/>
        <w:numPr>
          <w:ilvl w:val="0"/>
          <w:numId w:val="13"/>
        </w:numPr>
        <w:rPr>
          <w:color w:val="auto"/>
          <w:szCs w:val="24"/>
        </w:rPr>
      </w:pPr>
      <w:r w:rsidRPr="00E21BBD">
        <w:rPr>
          <w:color w:val="auto"/>
          <w:szCs w:val="24"/>
        </w:rPr>
        <w:t xml:space="preserve">Doses for either primary series (2-dose or 3-dose) </w:t>
      </w:r>
      <w:proofErr w:type="gramStart"/>
      <w:r w:rsidRPr="00E21BBD">
        <w:rPr>
          <w:color w:val="auto"/>
          <w:szCs w:val="24"/>
        </w:rPr>
        <w:t>should be administered</w:t>
      </w:r>
      <w:proofErr w:type="gramEnd"/>
      <w:r w:rsidRPr="00E21BBD">
        <w:rPr>
          <w:color w:val="auto"/>
          <w:szCs w:val="24"/>
        </w:rPr>
        <w:t xml:space="preserve"> 8 weeks apart; however, if necessary, an interval of 4 weeks between doses is acceptable.  </w:t>
      </w:r>
    </w:p>
    <w:p w:rsidR="003A29CE" w:rsidRDefault="003A29CE" w:rsidP="003A29CE">
      <w:pPr>
        <w:pStyle w:val="ListParagraph"/>
        <w:numPr>
          <w:ilvl w:val="0"/>
          <w:numId w:val="13"/>
        </w:numPr>
        <w:rPr>
          <w:color w:val="auto"/>
          <w:szCs w:val="24"/>
        </w:rPr>
      </w:pPr>
      <w:r w:rsidRPr="00E21BBD">
        <w:rPr>
          <w:color w:val="auto"/>
          <w:szCs w:val="24"/>
        </w:rPr>
        <w:t>If a PRP-OMP vaccine (</w:t>
      </w:r>
      <w:proofErr w:type="spellStart"/>
      <w:r w:rsidRPr="00C96863">
        <w:rPr>
          <w:b/>
          <w:color w:val="auto"/>
          <w:szCs w:val="24"/>
        </w:rPr>
        <w:t>PedvaxHIB</w:t>
      </w:r>
      <w:proofErr w:type="spellEnd"/>
      <w:r w:rsidR="00C96863">
        <w:rPr>
          <w:color w:val="auto"/>
          <w:szCs w:val="24"/>
          <w:vertAlign w:val="superscript"/>
        </w:rPr>
        <w:t>®</w:t>
      </w:r>
      <w:r w:rsidRPr="00E21BBD">
        <w:rPr>
          <w:color w:val="auto"/>
          <w:szCs w:val="24"/>
        </w:rPr>
        <w:t xml:space="preserve"> or </w:t>
      </w:r>
      <w:r w:rsidRPr="00C96863">
        <w:rPr>
          <w:b/>
          <w:color w:val="auto"/>
          <w:szCs w:val="24"/>
        </w:rPr>
        <w:t>COMVAX</w:t>
      </w:r>
      <w:r w:rsidR="00C96863">
        <w:rPr>
          <w:color w:val="auto"/>
          <w:szCs w:val="24"/>
          <w:vertAlign w:val="superscript"/>
        </w:rPr>
        <w:t>®</w:t>
      </w:r>
      <w:r w:rsidRPr="00E21BBD">
        <w:rPr>
          <w:color w:val="auto"/>
          <w:szCs w:val="24"/>
        </w:rPr>
        <w:t xml:space="preserve">) </w:t>
      </w:r>
      <w:proofErr w:type="gramStart"/>
      <w:r w:rsidRPr="00E21BBD">
        <w:rPr>
          <w:color w:val="auto"/>
          <w:szCs w:val="24"/>
        </w:rPr>
        <w:t>is administered</w:t>
      </w:r>
      <w:proofErr w:type="gramEnd"/>
      <w:r w:rsidRPr="00E21BBD">
        <w:rPr>
          <w:color w:val="auto"/>
          <w:szCs w:val="24"/>
        </w:rPr>
        <w:t xml:space="preserve"> for both doses in the primary series, a third primary dose is not indicated.  </w:t>
      </w:r>
    </w:p>
    <w:p w:rsidR="003A29CE" w:rsidRDefault="003A29CE" w:rsidP="003A29CE">
      <w:pPr>
        <w:pStyle w:val="ListParagraph"/>
        <w:numPr>
          <w:ilvl w:val="0"/>
          <w:numId w:val="13"/>
        </w:numPr>
        <w:rPr>
          <w:color w:val="auto"/>
          <w:szCs w:val="24"/>
        </w:rPr>
      </w:pPr>
      <w:r w:rsidRPr="00E21BBD">
        <w:rPr>
          <w:color w:val="auto"/>
          <w:szCs w:val="24"/>
        </w:rPr>
        <w:t>If a PRP-OMP vaccine (</w:t>
      </w:r>
      <w:proofErr w:type="spellStart"/>
      <w:r w:rsidR="00C96863" w:rsidRPr="00C96863">
        <w:rPr>
          <w:b/>
          <w:color w:val="auto"/>
          <w:szCs w:val="24"/>
        </w:rPr>
        <w:t>PedvaxHIB</w:t>
      </w:r>
      <w:proofErr w:type="spellEnd"/>
      <w:r w:rsidR="00C96863" w:rsidRPr="00C96863">
        <w:rPr>
          <w:color w:val="auto"/>
          <w:szCs w:val="24"/>
          <w:vertAlign w:val="superscript"/>
        </w:rPr>
        <w:t>®</w:t>
      </w:r>
      <w:r w:rsidRPr="00E21BBD">
        <w:rPr>
          <w:color w:val="auto"/>
          <w:szCs w:val="24"/>
        </w:rPr>
        <w:t xml:space="preserve"> or </w:t>
      </w:r>
      <w:r w:rsidR="00C96863" w:rsidRPr="00C96863">
        <w:rPr>
          <w:b/>
          <w:color w:val="auto"/>
          <w:szCs w:val="24"/>
        </w:rPr>
        <w:t>COMVAX</w:t>
      </w:r>
      <w:r w:rsidR="00C96863">
        <w:rPr>
          <w:color w:val="auto"/>
          <w:szCs w:val="24"/>
          <w:vertAlign w:val="superscript"/>
        </w:rPr>
        <w:t>®</w:t>
      </w:r>
      <w:r w:rsidRPr="00E21BBD">
        <w:rPr>
          <w:color w:val="auto"/>
          <w:szCs w:val="24"/>
        </w:rPr>
        <w:t xml:space="preserve">) is not administered for both doses in the primary series or there is uncertainty about which products were administered previously, a third primary series dose of a Hib conjugate vaccine is needed to complete the primary series.  </w:t>
      </w:r>
    </w:p>
    <w:p w:rsidR="003A29CE" w:rsidRPr="00E21BBD" w:rsidRDefault="003A29CE" w:rsidP="003A29CE">
      <w:pPr>
        <w:pStyle w:val="ListParagraph"/>
        <w:numPr>
          <w:ilvl w:val="0"/>
          <w:numId w:val="13"/>
        </w:numPr>
        <w:rPr>
          <w:color w:val="auto"/>
          <w:szCs w:val="24"/>
        </w:rPr>
      </w:pPr>
      <w:r>
        <w:rPr>
          <w:color w:val="auto"/>
          <w:szCs w:val="24"/>
        </w:rPr>
        <w:t xml:space="preserve">Any monovalent or combination Hib conjugate vaccine is acceptable for the booster dose (dose 3 or 4 depending on vaccine type used in primary series), regardless of the product used for the primary series.  </w:t>
      </w:r>
    </w:p>
    <w:p w:rsidR="003A29CE" w:rsidRDefault="003A29CE" w:rsidP="003A29CE">
      <w:pPr>
        <w:rPr>
          <w:b/>
          <w:sz w:val="20"/>
        </w:rPr>
      </w:pPr>
    </w:p>
    <w:p w:rsidR="003A29CE" w:rsidRDefault="003A29CE" w:rsidP="003A29CE">
      <w:pPr>
        <w:keepNext/>
        <w:keepLines/>
        <w:autoSpaceDE w:val="0"/>
        <w:autoSpaceDN w:val="0"/>
        <w:adjustRightInd w:val="0"/>
        <w:spacing w:after="120"/>
        <w:rPr>
          <w:b/>
          <w:szCs w:val="24"/>
          <w:u w:val="single"/>
        </w:rPr>
      </w:pPr>
    </w:p>
    <w:p w:rsidR="003A29CE" w:rsidRDefault="003A29CE" w:rsidP="003A29CE">
      <w:pPr>
        <w:keepNext/>
        <w:keepLines/>
        <w:autoSpaceDE w:val="0"/>
        <w:autoSpaceDN w:val="0"/>
        <w:adjustRightInd w:val="0"/>
        <w:spacing w:after="120"/>
        <w:rPr>
          <w:b/>
          <w:szCs w:val="24"/>
          <w:u w:val="single"/>
        </w:rPr>
      </w:pPr>
      <w:r>
        <w:rPr>
          <w:b/>
          <w:szCs w:val="24"/>
          <w:u w:val="single"/>
        </w:rPr>
        <w:t>Catch-up schedule</w:t>
      </w:r>
    </w:p>
    <w:p w:rsidR="003A29CE" w:rsidRDefault="003A29CE" w:rsidP="003A29CE">
      <w:pPr>
        <w:keepNext/>
        <w:keepLines/>
        <w:numPr>
          <w:ilvl w:val="0"/>
          <w:numId w:val="5"/>
        </w:numPr>
        <w:tabs>
          <w:tab w:val="clear" w:pos="360"/>
        </w:tabs>
        <w:autoSpaceDE w:val="0"/>
        <w:autoSpaceDN w:val="0"/>
        <w:adjustRightInd w:val="0"/>
        <w:spacing w:before="120" w:after="120"/>
        <w:ind w:left="720"/>
        <w:rPr>
          <w:b/>
          <w:szCs w:val="24"/>
        </w:rPr>
      </w:pPr>
      <w:r>
        <w:rPr>
          <w:szCs w:val="24"/>
        </w:rPr>
        <w:t>If  dose 1 was administered at ages 12 through 14 months, administer a second (final) dose at least 8 weeks after dose 1, regardless of Hib vaccine used in the primary series.</w:t>
      </w:r>
    </w:p>
    <w:p w:rsidR="003A29CE" w:rsidRDefault="003A29CE" w:rsidP="003A29CE">
      <w:pPr>
        <w:keepNext/>
        <w:keepLines/>
        <w:numPr>
          <w:ilvl w:val="0"/>
          <w:numId w:val="5"/>
        </w:numPr>
        <w:tabs>
          <w:tab w:val="clear" w:pos="360"/>
        </w:tabs>
        <w:autoSpaceDE w:val="0"/>
        <w:autoSpaceDN w:val="0"/>
        <w:adjustRightInd w:val="0"/>
        <w:spacing w:after="120"/>
        <w:ind w:left="720"/>
        <w:rPr>
          <w:b/>
          <w:szCs w:val="24"/>
        </w:rPr>
      </w:pPr>
      <w:r>
        <w:rPr>
          <w:szCs w:val="24"/>
        </w:rPr>
        <w:t>If the first 2 doses were PRP-OMP (</w:t>
      </w:r>
      <w:proofErr w:type="spellStart"/>
      <w:r w:rsidRPr="00C96863">
        <w:rPr>
          <w:b/>
          <w:szCs w:val="24"/>
        </w:rPr>
        <w:t>PedvaxHIB</w:t>
      </w:r>
      <w:proofErr w:type="spellEnd"/>
      <w:r w:rsidR="00C96863">
        <w:rPr>
          <w:szCs w:val="24"/>
          <w:vertAlign w:val="superscript"/>
        </w:rPr>
        <w:t>®</w:t>
      </w:r>
      <w:r>
        <w:rPr>
          <w:szCs w:val="24"/>
        </w:rPr>
        <w:t xml:space="preserve"> or </w:t>
      </w:r>
      <w:r w:rsidRPr="00C96863">
        <w:rPr>
          <w:b/>
          <w:szCs w:val="24"/>
        </w:rPr>
        <w:t>COMVAX</w:t>
      </w:r>
      <w:r w:rsidR="00C96863">
        <w:rPr>
          <w:szCs w:val="24"/>
          <w:vertAlign w:val="superscript"/>
        </w:rPr>
        <w:t>®</w:t>
      </w:r>
      <w:r>
        <w:rPr>
          <w:szCs w:val="24"/>
        </w:rPr>
        <w:t>), and were administered at age 11 months or younger, the third (and final) dose should be administered at age 12 through 15 months and at least 8 weeks after the second dose.</w:t>
      </w:r>
    </w:p>
    <w:p w:rsidR="003A29CE" w:rsidRDefault="003A29CE" w:rsidP="003A29CE">
      <w:pPr>
        <w:keepNext/>
        <w:keepLines/>
        <w:numPr>
          <w:ilvl w:val="0"/>
          <w:numId w:val="5"/>
        </w:numPr>
        <w:tabs>
          <w:tab w:val="clear" w:pos="360"/>
        </w:tabs>
        <w:autoSpaceDE w:val="0"/>
        <w:autoSpaceDN w:val="0"/>
        <w:adjustRightInd w:val="0"/>
        <w:spacing w:after="120"/>
        <w:ind w:left="720"/>
        <w:rPr>
          <w:b/>
          <w:szCs w:val="24"/>
        </w:rPr>
      </w:pPr>
      <w:r>
        <w:rPr>
          <w:szCs w:val="24"/>
        </w:rPr>
        <w:t xml:space="preserve">If the first dose was administered at age </w:t>
      </w:r>
      <w:proofErr w:type="gramStart"/>
      <w:r>
        <w:rPr>
          <w:szCs w:val="24"/>
        </w:rPr>
        <w:t>7</w:t>
      </w:r>
      <w:proofErr w:type="gramEnd"/>
      <w:r>
        <w:rPr>
          <w:szCs w:val="24"/>
        </w:rPr>
        <w:t xml:space="preserve"> through 11 months, administer the second dose at least 4 weeks later and a third (and final) at age 12 through 15 months or 8 weeks after second dose, whichever is later, regardless of Hib vaccine used for first dose.</w:t>
      </w:r>
    </w:p>
    <w:p w:rsidR="003A29CE" w:rsidRDefault="003A29CE" w:rsidP="003A29CE">
      <w:pPr>
        <w:keepNext/>
        <w:keepLines/>
        <w:numPr>
          <w:ilvl w:val="0"/>
          <w:numId w:val="5"/>
        </w:numPr>
        <w:tabs>
          <w:tab w:val="clear" w:pos="360"/>
        </w:tabs>
        <w:autoSpaceDE w:val="0"/>
        <w:autoSpaceDN w:val="0"/>
        <w:adjustRightInd w:val="0"/>
        <w:spacing w:after="120"/>
        <w:ind w:left="720"/>
        <w:rPr>
          <w:b/>
          <w:szCs w:val="24"/>
        </w:rPr>
      </w:pPr>
      <w:r>
        <w:rPr>
          <w:szCs w:val="24"/>
        </w:rPr>
        <w:t xml:space="preserve">If the first dose administered is at younger than 12 months of age and second dose administered is between 12 through 14 months of age, a third (and final) dose </w:t>
      </w:r>
      <w:proofErr w:type="gramStart"/>
      <w:r>
        <w:rPr>
          <w:szCs w:val="24"/>
        </w:rPr>
        <w:t>should be administered</w:t>
      </w:r>
      <w:proofErr w:type="gramEnd"/>
      <w:r>
        <w:rPr>
          <w:szCs w:val="24"/>
        </w:rPr>
        <w:t xml:space="preserve"> 8 weeks later.</w:t>
      </w:r>
    </w:p>
    <w:p w:rsidR="003A29CE" w:rsidRDefault="003A29CE" w:rsidP="003A29CE">
      <w:pPr>
        <w:keepNext/>
        <w:keepLines/>
        <w:numPr>
          <w:ilvl w:val="0"/>
          <w:numId w:val="5"/>
        </w:numPr>
        <w:tabs>
          <w:tab w:val="clear" w:pos="360"/>
        </w:tabs>
        <w:autoSpaceDE w:val="0"/>
        <w:autoSpaceDN w:val="0"/>
        <w:adjustRightInd w:val="0"/>
        <w:spacing w:after="120"/>
        <w:ind w:left="720"/>
        <w:rPr>
          <w:b/>
          <w:szCs w:val="24"/>
        </w:rPr>
      </w:pPr>
      <w:r>
        <w:rPr>
          <w:szCs w:val="24"/>
        </w:rPr>
        <w:t>For unvaccinated children aged 15 months or older, administer only one dose.</w:t>
      </w:r>
    </w:p>
    <w:p w:rsidR="003A29CE" w:rsidRDefault="003A29CE" w:rsidP="003A29CE">
      <w:pPr>
        <w:spacing w:after="120"/>
        <w:rPr>
          <w:b/>
          <w:szCs w:val="24"/>
          <w:u w:val="single"/>
        </w:rPr>
      </w:pPr>
    </w:p>
    <w:p w:rsidR="003A29CE" w:rsidRDefault="003A29CE" w:rsidP="003A29CE">
      <w:pPr>
        <w:keepNext/>
        <w:keepLines/>
        <w:autoSpaceDE w:val="0"/>
        <w:autoSpaceDN w:val="0"/>
        <w:adjustRightInd w:val="0"/>
        <w:spacing w:after="120"/>
        <w:rPr>
          <w:b/>
          <w:szCs w:val="24"/>
          <w:u w:val="single"/>
        </w:rPr>
      </w:pPr>
      <w:r>
        <w:rPr>
          <w:b/>
          <w:szCs w:val="24"/>
          <w:u w:val="single"/>
        </w:rPr>
        <w:t>Vaccination of children with high-risk conditions</w:t>
      </w:r>
      <w:r w:rsidRPr="00010FA1">
        <w:rPr>
          <w:b/>
          <w:szCs w:val="24"/>
        </w:rPr>
        <w:t xml:space="preserve"> </w:t>
      </w:r>
      <w:r w:rsidRPr="00E21BBD">
        <w:rPr>
          <w:b/>
          <w:szCs w:val="24"/>
        </w:rPr>
        <w:t>(</w:t>
      </w:r>
      <w:r w:rsidRPr="00E21BBD">
        <w:rPr>
          <w:szCs w:val="24"/>
        </w:rPr>
        <w:t xml:space="preserve">Patients with functional or anatomic </w:t>
      </w:r>
      <w:proofErr w:type="spellStart"/>
      <w:r w:rsidRPr="00E21BBD">
        <w:rPr>
          <w:szCs w:val="24"/>
        </w:rPr>
        <w:t>asplenia</w:t>
      </w:r>
      <w:proofErr w:type="spellEnd"/>
      <w:r w:rsidRPr="00E21BBD">
        <w:rPr>
          <w:szCs w:val="24"/>
        </w:rPr>
        <w:t>, HIV infection, immunoglobulin deficiency including Immunoglobulin G2 subclass deficiency, or early component complement deficiency, recipients of a</w:t>
      </w:r>
      <w:r>
        <w:rPr>
          <w:szCs w:val="24"/>
        </w:rPr>
        <w:t xml:space="preserve"> </w:t>
      </w:r>
      <w:r w:rsidRPr="00E21BBD">
        <w:rPr>
          <w:szCs w:val="24"/>
        </w:rPr>
        <w:t>hematopoietic stem cell transplant (HSCT), and those receiving chemotherapy for malignant neoplasms</w:t>
      </w:r>
      <w:r>
        <w:rPr>
          <w:szCs w:val="24"/>
        </w:rPr>
        <w:t xml:space="preserve">, </w:t>
      </w:r>
      <w:r w:rsidRPr="00E21BBD">
        <w:rPr>
          <w:szCs w:val="24"/>
        </w:rPr>
        <w:t xml:space="preserve"> </w:t>
      </w:r>
      <w:hyperlink r:id="rId12" w:history="1">
        <w:r w:rsidRPr="00015832">
          <w:rPr>
            <w:rStyle w:val="Hyperlink"/>
            <w:szCs w:val="24"/>
          </w:rPr>
          <w:t>http://www.cdc.gov/vaccines/programs/vfc/downloads/resolutions/02-13-2-hib.pdf</w:t>
        </w:r>
      </w:hyperlink>
      <w:r>
        <w:rPr>
          <w:szCs w:val="24"/>
        </w:rPr>
        <w:t xml:space="preserve"> </w:t>
      </w:r>
      <w:r w:rsidRPr="00E21BBD">
        <w:rPr>
          <w:szCs w:val="24"/>
        </w:rPr>
        <w:t>)</w:t>
      </w:r>
    </w:p>
    <w:p w:rsidR="003A29CE" w:rsidRDefault="003A29CE" w:rsidP="003A29CE">
      <w:pPr>
        <w:numPr>
          <w:ilvl w:val="0"/>
          <w:numId w:val="5"/>
        </w:numPr>
        <w:shd w:val="clear" w:color="auto" w:fill="FFFFFF"/>
        <w:tabs>
          <w:tab w:val="clear" w:pos="360"/>
        </w:tabs>
        <w:spacing w:before="120" w:after="120"/>
        <w:ind w:left="720"/>
        <w:rPr>
          <w:color w:val="auto"/>
          <w:szCs w:val="24"/>
        </w:rPr>
      </w:pPr>
      <w:proofErr w:type="gramStart"/>
      <w:r>
        <w:rPr>
          <w:color w:val="auto"/>
          <w:szCs w:val="24"/>
        </w:rPr>
        <w:t xml:space="preserve">Children aged 12 through 59 months who are at increased risk for Hib disease, including chemotherapy recipients and those with anatomic or functional </w:t>
      </w:r>
      <w:proofErr w:type="spellStart"/>
      <w:r>
        <w:rPr>
          <w:color w:val="auto"/>
          <w:szCs w:val="24"/>
        </w:rPr>
        <w:t>asplenia</w:t>
      </w:r>
      <w:proofErr w:type="spellEnd"/>
      <w:r>
        <w:rPr>
          <w:color w:val="auto"/>
          <w:szCs w:val="24"/>
        </w:rPr>
        <w:t xml:space="preserve"> (including sickle cell disease), human immunodeficiency virus (HIV) infection, immunoglobulin deficiency, or early component complement deficiency, who have received either no doses or only 1 dose of Hib vaccine before 12 months of age, should receive 2 additional doses of Hib vaccine 8 weeks apart; children who received 2 or more doses of Hib vaccine before 12 months of age should receive 1 additional dose.</w:t>
      </w:r>
      <w:proofErr w:type="gramEnd"/>
    </w:p>
    <w:p w:rsidR="003A29CE" w:rsidRDefault="003A29CE" w:rsidP="003A29CE">
      <w:pPr>
        <w:numPr>
          <w:ilvl w:val="0"/>
          <w:numId w:val="5"/>
        </w:numPr>
        <w:shd w:val="clear" w:color="auto" w:fill="FFFFFF"/>
        <w:tabs>
          <w:tab w:val="clear" w:pos="360"/>
        </w:tabs>
        <w:spacing w:before="120" w:after="120"/>
        <w:ind w:left="720"/>
        <w:rPr>
          <w:color w:val="auto"/>
          <w:szCs w:val="24"/>
        </w:rPr>
      </w:pPr>
      <w:r>
        <w:rPr>
          <w:color w:val="auto"/>
          <w:szCs w:val="24"/>
        </w:rPr>
        <w:lastRenderedPageBreak/>
        <w:t>For patients younger than 5 years of age undergoing chemotherapy or radiation treatment who received a Hib vaccine dose(s) within 14 days of starting therapy or during therapy, repeat the dose(s) at least 3 months following therapy completion.</w:t>
      </w:r>
    </w:p>
    <w:p w:rsidR="003A29CE" w:rsidRDefault="003A29CE" w:rsidP="003A29CE">
      <w:pPr>
        <w:numPr>
          <w:ilvl w:val="0"/>
          <w:numId w:val="5"/>
        </w:numPr>
        <w:shd w:val="clear" w:color="auto" w:fill="FFFFFF"/>
        <w:tabs>
          <w:tab w:val="clear" w:pos="360"/>
        </w:tabs>
        <w:spacing w:before="120" w:after="120"/>
        <w:ind w:left="720"/>
        <w:rPr>
          <w:color w:val="auto"/>
          <w:szCs w:val="24"/>
        </w:rPr>
      </w:pPr>
      <w:r>
        <w:rPr>
          <w:color w:val="auto"/>
          <w:szCs w:val="24"/>
        </w:rPr>
        <w:t xml:space="preserve">Recipients of hematopoietic stem cell transplant (HSCT) </w:t>
      </w:r>
      <w:proofErr w:type="gramStart"/>
      <w:r>
        <w:rPr>
          <w:color w:val="auto"/>
          <w:szCs w:val="24"/>
        </w:rPr>
        <w:t>should be revaccinated</w:t>
      </w:r>
      <w:proofErr w:type="gramEnd"/>
      <w:r>
        <w:rPr>
          <w:color w:val="auto"/>
          <w:szCs w:val="24"/>
        </w:rPr>
        <w:t xml:space="preserve"> with a </w:t>
      </w:r>
      <w:r>
        <w:rPr>
          <w:color w:val="auto"/>
          <w:szCs w:val="24"/>
        </w:rPr>
        <w:br/>
        <w:t>3-dose regimen of Hib vaccine starting 6 to 12 months after successful transplant, regardless of vaccination history; doses should be administered at least 4 weeks apart.</w:t>
      </w:r>
    </w:p>
    <w:p w:rsidR="003A29CE" w:rsidRDefault="003A29CE" w:rsidP="003A29CE">
      <w:pPr>
        <w:numPr>
          <w:ilvl w:val="0"/>
          <w:numId w:val="5"/>
        </w:numPr>
        <w:shd w:val="clear" w:color="auto" w:fill="FFFFFF"/>
        <w:tabs>
          <w:tab w:val="clear" w:pos="360"/>
        </w:tabs>
        <w:spacing w:before="120" w:after="120"/>
        <w:ind w:left="720"/>
        <w:rPr>
          <w:color w:val="auto"/>
          <w:szCs w:val="24"/>
        </w:rPr>
      </w:pPr>
      <w:r>
        <w:rPr>
          <w:color w:val="auto"/>
          <w:szCs w:val="24"/>
        </w:rPr>
        <w:t>A single dose of any Hib-containing vaccine should be administered to unimmunized* children and adolescents 15 months of age and older undergoing an elective splenectomy; if possible, vaccine should be administered at least 14 days before procedure.</w:t>
      </w:r>
    </w:p>
    <w:p w:rsidR="003A29CE" w:rsidRDefault="003A29CE" w:rsidP="003A29CE">
      <w:pPr>
        <w:numPr>
          <w:ilvl w:val="0"/>
          <w:numId w:val="5"/>
        </w:numPr>
        <w:shd w:val="clear" w:color="auto" w:fill="FFFFFF"/>
        <w:tabs>
          <w:tab w:val="clear" w:pos="360"/>
        </w:tabs>
        <w:spacing w:before="120" w:after="120"/>
        <w:ind w:left="720"/>
        <w:rPr>
          <w:color w:val="auto"/>
          <w:szCs w:val="24"/>
        </w:rPr>
      </w:pPr>
      <w:r>
        <w:rPr>
          <w:color w:val="auto"/>
          <w:szCs w:val="24"/>
        </w:rPr>
        <w:t xml:space="preserve">Hib vaccine is not routinely recommended for patients 5 years or older.  However, 1 dose of Hib vaccine should be administered to unimmunized* persons aged 5 years or older who have anatomic or functional </w:t>
      </w:r>
      <w:proofErr w:type="spellStart"/>
      <w:r>
        <w:rPr>
          <w:color w:val="auto"/>
          <w:szCs w:val="24"/>
        </w:rPr>
        <w:t>asplenia</w:t>
      </w:r>
      <w:proofErr w:type="spellEnd"/>
      <w:r>
        <w:rPr>
          <w:color w:val="auto"/>
          <w:szCs w:val="24"/>
        </w:rPr>
        <w:t xml:space="preserve"> (including sickle cell disease) and unvaccinated persons 5 through 18 years of age with human immunodeficiency virus (HIV) infection.</w:t>
      </w:r>
    </w:p>
    <w:p w:rsidR="003A29CE" w:rsidRDefault="003A29CE" w:rsidP="003A29CE">
      <w:pPr>
        <w:shd w:val="clear" w:color="auto" w:fill="FFFFFF"/>
        <w:spacing w:after="120"/>
        <w:ind w:left="504" w:hanging="144"/>
        <w:rPr>
          <w:b/>
          <w:szCs w:val="24"/>
        </w:rPr>
      </w:pPr>
      <w:r>
        <w:rPr>
          <w:color w:val="auto"/>
          <w:szCs w:val="24"/>
        </w:rPr>
        <w:t xml:space="preserve">* </w:t>
      </w:r>
      <w:r>
        <w:rPr>
          <w:i/>
          <w:iCs/>
          <w:color w:val="auto"/>
          <w:szCs w:val="24"/>
        </w:rPr>
        <w:t>Patients who have not received a primary series and booster dose or at least one dose of Hib vaccine after 14 months of age are considered unimmunized.</w:t>
      </w:r>
      <w:r w:rsidRPr="00907BE1">
        <w:rPr>
          <w:rFonts w:eastAsia="Calibri"/>
          <w:color w:val="auto"/>
          <w:szCs w:val="24"/>
        </w:rPr>
        <w:t xml:space="preserve">  </w:t>
      </w:r>
      <w:hyperlink r:id="rId13" w:history="1">
        <w:r w:rsidRPr="00907BE1">
          <w:rPr>
            <w:rStyle w:val="Hyperlink"/>
            <w:rFonts w:eastAsia="Calibri"/>
            <w:szCs w:val="24"/>
          </w:rPr>
          <w:t>http://www.cdc.gov/vaccines/schedules/hcp/imz/child-adolescent.html</w:t>
        </w:r>
      </w:hyperlink>
    </w:p>
    <w:p w:rsidR="003A29CE" w:rsidRDefault="003A29CE" w:rsidP="003A29CE">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szCs w:val="24"/>
        </w:rPr>
      </w:pPr>
    </w:p>
    <w:p w:rsidR="003A29CE" w:rsidRDefault="003A29CE" w:rsidP="003A29CE">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szCs w:val="24"/>
        </w:rPr>
      </w:pPr>
      <w:r w:rsidRPr="00E21BBD">
        <w:rPr>
          <w:b/>
          <w:szCs w:val="24"/>
          <w:u w:val="single"/>
        </w:rPr>
        <w:t>Vaccination of adults with high-risk conditions</w:t>
      </w:r>
      <w:r>
        <w:rPr>
          <w:b/>
          <w:szCs w:val="24"/>
        </w:rPr>
        <w:t xml:space="preserve">  </w:t>
      </w:r>
    </w:p>
    <w:p w:rsidR="003A29CE" w:rsidRDefault="003A29CE" w:rsidP="003A29CE">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szCs w:val="24"/>
        </w:rPr>
      </w:pPr>
    </w:p>
    <w:p w:rsidR="003A29CE" w:rsidRDefault="003A29CE" w:rsidP="003A29CE">
      <w:pPr>
        <w:pStyle w:val="ListParagraph"/>
        <w:numPr>
          <w:ilvl w:val="0"/>
          <w:numId w:val="6"/>
        </w:numPr>
        <w:autoSpaceDE w:val="0"/>
        <w:autoSpaceDN w:val="0"/>
        <w:adjustRightInd w:val="0"/>
        <w:spacing w:before="60" w:after="60"/>
        <w:rPr>
          <w:rFonts w:eastAsia="MyriadPro-Regular"/>
          <w:color w:val="auto"/>
          <w:szCs w:val="24"/>
        </w:rPr>
      </w:pPr>
      <w:r>
        <w:rPr>
          <w:rFonts w:eastAsia="MyriadPro-Regular"/>
          <w:color w:val="auto"/>
          <w:szCs w:val="24"/>
        </w:rPr>
        <w:t xml:space="preserve">One dose of Hib vaccine </w:t>
      </w:r>
      <w:proofErr w:type="gramStart"/>
      <w:r>
        <w:rPr>
          <w:rFonts w:eastAsia="MyriadPro-Regular"/>
          <w:color w:val="auto"/>
          <w:szCs w:val="24"/>
        </w:rPr>
        <w:t>should be administered</w:t>
      </w:r>
      <w:proofErr w:type="gramEnd"/>
      <w:r>
        <w:rPr>
          <w:rFonts w:eastAsia="MyriadPro-Regular"/>
          <w:color w:val="auto"/>
          <w:szCs w:val="24"/>
        </w:rPr>
        <w:t xml:space="preserve"> to persons who have functional or anatomic </w:t>
      </w:r>
      <w:proofErr w:type="spellStart"/>
      <w:r>
        <w:rPr>
          <w:rFonts w:eastAsia="MyriadPro-Regular"/>
          <w:color w:val="auto"/>
          <w:szCs w:val="24"/>
        </w:rPr>
        <w:t>asplenia</w:t>
      </w:r>
      <w:proofErr w:type="spellEnd"/>
      <w:r>
        <w:rPr>
          <w:rFonts w:eastAsia="MyriadPro-Regular"/>
          <w:color w:val="auto"/>
          <w:szCs w:val="24"/>
        </w:rPr>
        <w:t xml:space="preserve"> or sickle cell disease or are undergoing elective splenectomy if they have not previously received Hib vaccine. </w:t>
      </w:r>
    </w:p>
    <w:p w:rsidR="003A29CE" w:rsidRDefault="003A29CE" w:rsidP="003A29CE">
      <w:pPr>
        <w:pStyle w:val="ListParagraph"/>
        <w:numPr>
          <w:ilvl w:val="1"/>
          <w:numId w:val="6"/>
        </w:numPr>
        <w:autoSpaceDE w:val="0"/>
        <w:autoSpaceDN w:val="0"/>
        <w:adjustRightInd w:val="0"/>
        <w:spacing w:before="60" w:after="60"/>
        <w:rPr>
          <w:rFonts w:eastAsia="MyriadPro-Regular"/>
          <w:color w:val="auto"/>
          <w:szCs w:val="24"/>
        </w:rPr>
      </w:pPr>
      <w:r>
        <w:rPr>
          <w:rFonts w:eastAsia="MyriadPro-Regular"/>
          <w:color w:val="auto"/>
          <w:szCs w:val="24"/>
        </w:rPr>
        <w:t xml:space="preserve">Hib vaccination 14 or more days before splenectomy </w:t>
      </w:r>
      <w:proofErr w:type="gramStart"/>
      <w:r>
        <w:rPr>
          <w:rFonts w:eastAsia="MyriadPro-Regular"/>
          <w:color w:val="auto"/>
          <w:szCs w:val="24"/>
        </w:rPr>
        <w:t>is suggested</w:t>
      </w:r>
      <w:proofErr w:type="gramEnd"/>
      <w:r>
        <w:rPr>
          <w:rFonts w:eastAsia="MyriadPro-Regular"/>
          <w:color w:val="auto"/>
          <w:szCs w:val="24"/>
        </w:rPr>
        <w:t>.</w:t>
      </w:r>
    </w:p>
    <w:p w:rsidR="003A29CE" w:rsidRDefault="003A29CE" w:rsidP="003A29CE">
      <w:pPr>
        <w:pStyle w:val="ListParagraph"/>
        <w:numPr>
          <w:ilvl w:val="0"/>
          <w:numId w:val="6"/>
        </w:numPr>
        <w:autoSpaceDE w:val="0"/>
        <w:autoSpaceDN w:val="0"/>
        <w:adjustRightInd w:val="0"/>
        <w:spacing w:before="60" w:after="60"/>
        <w:rPr>
          <w:rFonts w:eastAsia="MyriadPro-Regular"/>
          <w:color w:val="auto"/>
          <w:szCs w:val="24"/>
        </w:rPr>
      </w:pPr>
      <w:r>
        <w:rPr>
          <w:rFonts w:eastAsia="MyriadPro-Regular"/>
          <w:color w:val="auto"/>
          <w:szCs w:val="24"/>
        </w:rPr>
        <w:t>Recipients of a hematopoietic stem cell transplant should be vaccinated with a 3-dose regimen 6 to 12 months after a successful transplant, regardless of vaccination history; at least 4 weeks should separate doses</w:t>
      </w:r>
    </w:p>
    <w:p w:rsidR="003A29CE" w:rsidRDefault="003A29CE" w:rsidP="003A29CE">
      <w:pPr>
        <w:pStyle w:val="ListParagraph"/>
        <w:numPr>
          <w:ilvl w:val="0"/>
          <w:numId w:val="6"/>
        </w:numPr>
        <w:autoSpaceDE w:val="0"/>
        <w:autoSpaceDN w:val="0"/>
        <w:adjustRightInd w:val="0"/>
        <w:spacing w:before="60" w:after="60"/>
        <w:rPr>
          <w:rFonts w:eastAsia="MyriadPro-Regular"/>
          <w:color w:val="auto"/>
          <w:szCs w:val="24"/>
        </w:rPr>
      </w:pPr>
      <w:r>
        <w:rPr>
          <w:rFonts w:eastAsia="MyriadPro-Regular"/>
          <w:color w:val="auto"/>
          <w:szCs w:val="24"/>
        </w:rPr>
        <w:t xml:space="preserve">Hib vaccine </w:t>
      </w:r>
      <w:proofErr w:type="gramStart"/>
      <w:r>
        <w:rPr>
          <w:rFonts w:eastAsia="MyriadPro-Regular"/>
          <w:color w:val="auto"/>
          <w:szCs w:val="24"/>
          <w:u w:val="single"/>
        </w:rPr>
        <w:t>is not recommended</w:t>
      </w:r>
      <w:proofErr w:type="gramEnd"/>
      <w:r>
        <w:rPr>
          <w:rFonts w:eastAsia="MyriadPro-Regular"/>
          <w:color w:val="auto"/>
          <w:szCs w:val="24"/>
        </w:rPr>
        <w:t xml:space="preserve"> for adults with HIV infection since their risk for Hib infection is low.</w:t>
      </w:r>
    </w:p>
    <w:p w:rsidR="003A29CE" w:rsidRDefault="003A29CE" w:rsidP="003A29C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after="120"/>
        <w:rPr>
          <w:b/>
          <w:szCs w:val="24"/>
        </w:rPr>
      </w:pPr>
    </w:p>
    <w:p w:rsidR="003A29CE" w:rsidRDefault="003A29CE" w:rsidP="003A29CE">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after="120"/>
        <w:rPr>
          <w:szCs w:val="24"/>
        </w:rPr>
      </w:pPr>
      <w:r w:rsidRPr="00E21BBD">
        <w:rPr>
          <w:b/>
          <w:szCs w:val="24"/>
          <w:u w:val="single"/>
        </w:rPr>
        <w:t xml:space="preserve">Hib vaccine </w:t>
      </w:r>
      <w:proofErr w:type="gramStart"/>
      <w:r w:rsidRPr="00E21BBD">
        <w:rPr>
          <w:b/>
          <w:szCs w:val="24"/>
          <w:u w:val="single"/>
        </w:rPr>
        <w:t>is indicated</w:t>
      </w:r>
      <w:proofErr w:type="gramEnd"/>
      <w:r w:rsidRPr="00E21BBD">
        <w:rPr>
          <w:b/>
          <w:szCs w:val="24"/>
          <w:u w:val="single"/>
        </w:rPr>
        <w:t xml:space="preserve"> for</w:t>
      </w:r>
      <w:r w:rsidRPr="00E21BBD">
        <w:rPr>
          <w:szCs w:val="24"/>
          <w:u w:val="single"/>
        </w:rPr>
        <w:t xml:space="preserve"> </w:t>
      </w:r>
      <w:r w:rsidRPr="00E21BBD">
        <w:rPr>
          <w:b/>
          <w:szCs w:val="24"/>
          <w:u w:val="single"/>
        </w:rPr>
        <w:t>the following groups</w:t>
      </w:r>
    </w:p>
    <w:p w:rsidR="003A29CE" w:rsidRDefault="003A29CE" w:rsidP="003A29CE">
      <w:pPr>
        <w:widowControl w:val="0"/>
        <w:numPr>
          <w:ilvl w:val="0"/>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864" w:hanging="288"/>
      </w:pPr>
      <w:r>
        <w:t xml:space="preserve">All infants and children, six weeks of age to less than 59 months of age.  The number of doses needed is dependent on the age of the child when the vaccine series is initiated and the type of vaccine given;  </w:t>
      </w:r>
    </w:p>
    <w:p w:rsidR="003A29CE" w:rsidRDefault="003A29CE" w:rsidP="003A29CE">
      <w:pPr>
        <w:widowControl w:val="0"/>
        <w:numPr>
          <w:ilvl w:val="0"/>
          <w:numId w:val="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864" w:hanging="288"/>
      </w:pPr>
      <w:proofErr w:type="spellStart"/>
      <w:r w:rsidRPr="00C96863">
        <w:rPr>
          <w:b/>
        </w:rPr>
        <w:t>PedvaxHIB</w:t>
      </w:r>
      <w:proofErr w:type="spellEnd"/>
      <w:r w:rsidR="00C96863">
        <w:rPr>
          <w:vertAlign w:val="superscript"/>
        </w:rPr>
        <w:t>®</w:t>
      </w:r>
      <w:r w:rsidRPr="00E21BBD">
        <w:t xml:space="preserve"> (PRP-OMP)</w:t>
      </w:r>
      <w:r>
        <w:rPr>
          <w:b/>
        </w:rPr>
        <w:t xml:space="preserve"> </w:t>
      </w:r>
      <w:proofErr w:type="gramStart"/>
      <w:r>
        <w:t>is indicated</w:t>
      </w:r>
      <w:proofErr w:type="gramEnd"/>
      <w:r>
        <w:t xml:space="preserve"> for routine vaccination against invasive disease caused by </w:t>
      </w:r>
      <w:proofErr w:type="spellStart"/>
      <w:r>
        <w:rPr>
          <w:i/>
          <w:iCs/>
        </w:rPr>
        <w:t>Haemophilus</w:t>
      </w:r>
      <w:proofErr w:type="spellEnd"/>
      <w:r>
        <w:rPr>
          <w:i/>
          <w:iCs/>
        </w:rPr>
        <w:t xml:space="preserve"> </w:t>
      </w:r>
      <w:proofErr w:type="spellStart"/>
      <w:r>
        <w:rPr>
          <w:i/>
          <w:iCs/>
        </w:rPr>
        <w:t>influenzae</w:t>
      </w:r>
      <w:proofErr w:type="spellEnd"/>
      <w:r>
        <w:rPr>
          <w:i/>
          <w:iCs/>
        </w:rPr>
        <w:t xml:space="preserve"> </w:t>
      </w:r>
      <w:r>
        <w:t>type b in infants and children 2 to 71 months of age.</w:t>
      </w:r>
    </w:p>
    <w:p w:rsidR="003A29CE" w:rsidRDefault="003A29CE" w:rsidP="003A29CE">
      <w:pPr>
        <w:widowControl w:val="0"/>
        <w:numPr>
          <w:ilvl w:val="0"/>
          <w:numId w:val="8"/>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864" w:hanging="288"/>
      </w:pPr>
      <w:r>
        <w:t xml:space="preserve">Unimmunized children, </w:t>
      </w:r>
      <w:r>
        <w:rPr>
          <w:u w:val="single"/>
        </w:rPr>
        <w:t>aged</w:t>
      </w:r>
      <w:r>
        <w:t xml:space="preserve"> 5 years and older, with sickle-cell disease, HIV infection, AIDS, severe non-HIV immunosuppressive condition and treatments, functional or anatomic </w:t>
      </w:r>
      <w:proofErr w:type="spellStart"/>
      <w:r>
        <w:t>asplenia</w:t>
      </w:r>
      <w:proofErr w:type="spellEnd"/>
      <w:r>
        <w:t xml:space="preserve">, renal failure and diabetes;  </w:t>
      </w:r>
    </w:p>
    <w:p w:rsidR="003A29CE" w:rsidRDefault="003A29CE" w:rsidP="003A29CE">
      <w:pPr>
        <w:widowControl w:val="0"/>
        <w:numPr>
          <w:ilvl w:val="0"/>
          <w:numId w:val="5"/>
        </w:numPr>
        <w:tabs>
          <w:tab w:val="clear" w:pos="36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864" w:hanging="288"/>
      </w:pPr>
      <w:r>
        <w:t xml:space="preserve">Adults with severe non-HIV immunosuppression, after organ transplantation, with functional or anatomic </w:t>
      </w:r>
      <w:proofErr w:type="spellStart"/>
      <w:r>
        <w:t>asplenia</w:t>
      </w:r>
      <w:proofErr w:type="spellEnd"/>
      <w:r>
        <w:t xml:space="preserve"> and chronic immunosuppressive therapy.</w:t>
      </w:r>
    </w:p>
    <w:p w:rsidR="003A29CE" w:rsidRDefault="003A29CE" w:rsidP="003A29CE">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0"/>
        </w:rPr>
      </w:pPr>
    </w:p>
    <w:p w:rsidR="003A29CE" w:rsidRDefault="003A29CE" w:rsidP="003A29CE">
      <w:pPr>
        <w:keepNext/>
        <w:keepLines/>
        <w:autoSpaceDE w:val="0"/>
        <w:autoSpaceDN w:val="0"/>
        <w:adjustRightInd w:val="0"/>
        <w:spacing w:after="120"/>
        <w:rPr>
          <w:b/>
          <w:szCs w:val="24"/>
          <w:u w:val="single"/>
        </w:rPr>
      </w:pPr>
      <w:r>
        <w:rPr>
          <w:b/>
          <w:szCs w:val="24"/>
          <w:u w:val="single"/>
        </w:rPr>
        <w:t>Dosage and Route</w:t>
      </w:r>
    </w:p>
    <w:p w:rsidR="003A29CE" w:rsidRDefault="003A29CE" w:rsidP="003A29CE">
      <w:pPr>
        <w:pStyle w:val="ListParagraph"/>
        <w:keepNext/>
        <w:keepLines/>
        <w:numPr>
          <w:ilvl w:val="0"/>
          <w:numId w:val="5"/>
        </w:numPr>
        <w:tabs>
          <w:tab w:val="clear" w:pos="360"/>
        </w:tabs>
        <w:spacing w:before="120" w:after="120"/>
        <w:ind w:left="720"/>
      </w:pPr>
      <w:r>
        <w:t xml:space="preserve">See the package insert for reconstitution instructions if the </w:t>
      </w:r>
      <w:proofErr w:type="spellStart"/>
      <w:r w:rsidRPr="00C96863">
        <w:rPr>
          <w:b/>
        </w:rPr>
        <w:t>ActHIB</w:t>
      </w:r>
      <w:proofErr w:type="spellEnd"/>
      <w:r w:rsidR="00C96863">
        <w:rPr>
          <w:vertAlign w:val="superscript"/>
        </w:rPr>
        <w:t>®</w:t>
      </w:r>
      <w:r w:rsidRPr="00AE15AF">
        <w:t xml:space="preserve"> </w:t>
      </w:r>
      <w:r>
        <w:t xml:space="preserve">brand of Hib vaccine </w:t>
      </w:r>
      <w:proofErr w:type="gramStart"/>
      <w:r>
        <w:t>is being administered</w:t>
      </w:r>
      <w:proofErr w:type="gramEnd"/>
      <w:r>
        <w:t>.</w:t>
      </w:r>
    </w:p>
    <w:p w:rsidR="003A29CE" w:rsidRPr="005A4575" w:rsidRDefault="003A29CE" w:rsidP="003A29CE">
      <w:pPr>
        <w:pStyle w:val="ListParagraph"/>
        <w:numPr>
          <w:ilvl w:val="0"/>
          <w:numId w:val="5"/>
        </w:numPr>
        <w:tabs>
          <w:tab w:val="clear" w:pos="360"/>
        </w:tabs>
        <w:ind w:left="720"/>
      </w:pPr>
      <w:r w:rsidRPr="005A4575">
        <w:t xml:space="preserve">See the package insert for reconstitution instructions if the </w:t>
      </w:r>
      <w:r>
        <w:t>HIBERIX</w:t>
      </w:r>
      <w:r w:rsidR="00C96863">
        <w:rPr>
          <w:vertAlign w:val="superscript"/>
        </w:rPr>
        <w:t>®</w:t>
      </w:r>
      <w:r w:rsidRPr="005A4575">
        <w:t xml:space="preserve"> brand of Hib vaccine </w:t>
      </w:r>
      <w:proofErr w:type="gramStart"/>
      <w:r w:rsidRPr="005A4575">
        <w:t>is being administered</w:t>
      </w:r>
      <w:proofErr w:type="gramEnd"/>
      <w:r w:rsidRPr="005A4575">
        <w:t>.</w:t>
      </w:r>
    </w:p>
    <w:p w:rsidR="003A29CE" w:rsidRDefault="003A29CE" w:rsidP="003A29CE">
      <w:pPr>
        <w:pStyle w:val="ListParagraph"/>
        <w:keepNext/>
        <w:keepLines/>
        <w:numPr>
          <w:ilvl w:val="0"/>
          <w:numId w:val="5"/>
        </w:numPr>
        <w:tabs>
          <w:tab w:val="clear" w:pos="360"/>
        </w:tabs>
        <w:spacing w:before="120" w:after="120"/>
        <w:ind w:left="720"/>
      </w:pPr>
      <w:r>
        <w:t xml:space="preserve">Administer Hib vaccine 0.5 mL intramuscularly (IM) according to the recommended schedule.  </w:t>
      </w:r>
      <w:r w:rsidRPr="0089066F">
        <w:rPr>
          <w:b/>
        </w:rPr>
        <w:t>Always check the package insert prior to administration of any vaccine</w:t>
      </w:r>
      <w:r>
        <w:t>.  Administer IM vaccines at a 90</w:t>
      </w:r>
      <w:r w:rsidRPr="0089066F">
        <w:rPr>
          <w:vertAlign w:val="superscript"/>
        </w:rPr>
        <w:t>o</w:t>
      </w:r>
      <w:r>
        <w:t>angle with a 22- to 25-gauge needle.</w:t>
      </w:r>
    </w:p>
    <w:p w:rsidR="003A29CE" w:rsidRDefault="003A29CE" w:rsidP="003A29CE">
      <w:pPr>
        <w:pStyle w:val="ListParagraph"/>
        <w:keepNext/>
        <w:keepLines/>
        <w:numPr>
          <w:ilvl w:val="0"/>
          <w:numId w:val="5"/>
        </w:numPr>
        <w:tabs>
          <w:tab w:val="clear" w:pos="360"/>
        </w:tabs>
        <w:spacing w:before="120" w:after="120"/>
        <w:ind w:left="720"/>
      </w:pPr>
      <w:r w:rsidRPr="009C1A7F">
        <w:t xml:space="preserve">See Immunize.org reference below for a table about needle size and length, </w:t>
      </w:r>
      <w:hyperlink r:id="rId14" w:history="1">
        <w:r w:rsidRPr="00604899">
          <w:rPr>
            <w:rStyle w:val="Hyperlink"/>
          </w:rPr>
          <w:t>http://www.immunize.org/catg.d/p3085.pdf</w:t>
        </w:r>
      </w:hyperlink>
      <w:r>
        <w:t xml:space="preserve"> </w:t>
      </w:r>
    </w:p>
    <w:p w:rsidR="003A29CE" w:rsidRDefault="003A29CE" w:rsidP="003A29CE">
      <w:pPr>
        <w:autoSpaceDE w:val="0"/>
        <w:autoSpaceDN w:val="0"/>
        <w:adjustRightInd w:val="0"/>
        <w:spacing w:after="120"/>
        <w:rPr>
          <w:b/>
          <w:u w:val="single"/>
        </w:rPr>
      </w:pPr>
    </w:p>
    <w:p w:rsidR="003A29CE" w:rsidRDefault="003A29CE" w:rsidP="003A29CE">
      <w:pPr>
        <w:keepNext/>
        <w:keepLines/>
        <w:autoSpaceDE w:val="0"/>
        <w:autoSpaceDN w:val="0"/>
        <w:adjustRightInd w:val="0"/>
        <w:spacing w:after="120"/>
        <w:rPr>
          <w:b/>
          <w:szCs w:val="24"/>
          <w:u w:val="single"/>
        </w:rPr>
      </w:pPr>
      <w:r>
        <w:rPr>
          <w:b/>
          <w:szCs w:val="24"/>
          <w:u w:val="single"/>
        </w:rPr>
        <w:t xml:space="preserve">Anatomical Site </w:t>
      </w:r>
    </w:p>
    <w:p w:rsidR="003A29CE" w:rsidRDefault="003A29CE" w:rsidP="003A29CE">
      <w:pPr>
        <w:numPr>
          <w:ilvl w:val="0"/>
          <w:numId w:val="1"/>
        </w:numPr>
        <w:autoSpaceDE w:val="0"/>
        <w:autoSpaceDN w:val="0"/>
        <w:adjustRightInd w:val="0"/>
        <w:spacing w:after="120"/>
      </w:pPr>
      <w:r>
        <w:t>Outer aspect of the deltoid of the upper arm or in the higher anterolateral area of the thigh.</w:t>
      </w:r>
    </w:p>
    <w:p w:rsidR="003A29CE" w:rsidRDefault="003A29CE" w:rsidP="003A29CE">
      <w:pPr>
        <w:autoSpaceDE w:val="0"/>
        <w:autoSpaceDN w:val="0"/>
        <w:adjustRightInd w:val="0"/>
        <w:rPr>
          <w:sz w:val="20"/>
        </w:rPr>
      </w:pPr>
    </w:p>
    <w:p w:rsidR="003A29CE" w:rsidRDefault="003A29CE" w:rsidP="003A29CE">
      <w:pPr>
        <w:autoSpaceDE w:val="0"/>
        <w:autoSpaceDN w:val="0"/>
        <w:adjustRightInd w:val="0"/>
        <w:spacing w:after="120"/>
        <w:rPr>
          <w:b/>
          <w:szCs w:val="24"/>
          <w:u w:val="single"/>
        </w:rPr>
      </w:pPr>
      <w:r>
        <w:rPr>
          <w:b/>
          <w:szCs w:val="24"/>
          <w:u w:val="single"/>
        </w:rPr>
        <w:t>Precautions</w:t>
      </w:r>
    </w:p>
    <w:p w:rsidR="003A29CE" w:rsidRDefault="003A29CE" w:rsidP="003A29CE">
      <w:pPr>
        <w:numPr>
          <w:ilvl w:val="0"/>
          <w:numId w:val="1"/>
        </w:numPr>
        <w:autoSpaceDE w:val="0"/>
        <w:autoSpaceDN w:val="0"/>
        <w:adjustRightInd w:val="0"/>
      </w:pPr>
      <w:r>
        <w:t>Prior to administering the vaccine, obtain a vaccination history to determine any reactions to any vaccine.</w:t>
      </w:r>
    </w:p>
    <w:p w:rsidR="003A29CE" w:rsidRDefault="003A29CE" w:rsidP="003A29CE">
      <w:pPr>
        <w:widowControl w:val="0"/>
        <w:numPr>
          <w:ilvl w:val="0"/>
          <w:numId w:val="1"/>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 xml:space="preserve">   Moderate to severe illness with or without fever (temporary precaution)</w:t>
      </w:r>
    </w:p>
    <w:p w:rsidR="003A29CE" w:rsidRDefault="003A29CE" w:rsidP="003A29CE">
      <w:pPr>
        <w:widowControl w:val="0"/>
        <w:numPr>
          <w:ilvl w:val="0"/>
          <w:numId w:val="1"/>
        </w:num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t>As with other intramuscular injections, use with caution in patients on anticoagulant therapy.</w:t>
      </w:r>
    </w:p>
    <w:p w:rsidR="003A29CE" w:rsidRDefault="003A29CE" w:rsidP="003A29CE">
      <w:pPr>
        <w:widowControl w:val="0"/>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3A29CE" w:rsidRDefault="003A29CE" w:rsidP="003A29CE">
      <w:pPr>
        <w:keepNext/>
        <w:keepLines/>
        <w:autoSpaceDE w:val="0"/>
        <w:autoSpaceDN w:val="0"/>
        <w:adjustRightInd w:val="0"/>
        <w:spacing w:after="120"/>
        <w:rPr>
          <w:b/>
          <w:szCs w:val="24"/>
          <w:u w:val="single"/>
        </w:rPr>
      </w:pPr>
      <w:r>
        <w:rPr>
          <w:b/>
          <w:szCs w:val="24"/>
          <w:u w:val="single"/>
        </w:rPr>
        <w:t>Contraindications</w:t>
      </w:r>
    </w:p>
    <w:p w:rsidR="003A29CE" w:rsidRPr="00D81C4F" w:rsidRDefault="003A29CE" w:rsidP="003A29CE">
      <w:pPr>
        <w:pStyle w:val="ListParagraph"/>
        <w:numPr>
          <w:ilvl w:val="0"/>
          <w:numId w:val="9"/>
        </w:numPr>
        <w:autoSpaceDE w:val="0"/>
        <w:autoSpaceDN w:val="0"/>
        <w:adjustRightInd w:val="0"/>
        <w:rPr>
          <w:szCs w:val="24"/>
        </w:rPr>
      </w:pPr>
      <w:r w:rsidRPr="003314AD">
        <w:rPr>
          <w:b/>
          <w:szCs w:val="24"/>
        </w:rPr>
        <w:t>DO NOT</w:t>
      </w:r>
      <w:r w:rsidRPr="003314AD">
        <w:rPr>
          <w:szCs w:val="24"/>
        </w:rPr>
        <w:t xml:space="preserve"> administer Hib vaccine to individuals with an anaphylactic reaction to a previous dose of Hib, latex (</w:t>
      </w:r>
      <w:proofErr w:type="spellStart"/>
      <w:r w:rsidRPr="00C96863">
        <w:rPr>
          <w:b/>
          <w:szCs w:val="24"/>
        </w:rPr>
        <w:t>PedvaxHIB</w:t>
      </w:r>
      <w:proofErr w:type="spellEnd"/>
      <w:r w:rsidR="00C96863">
        <w:rPr>
          <w:b/>
          <w:szCs w:val="24"/>
          <w:vertAlign w:val="superscript"/>
        </w:rPr>
        <w:t>®</w:t>
      </w:r>
      <w:r w:rsidRPr="003314AD">
        <w:rPr>
          <w:szCs w:val="24"/>
        </w:rPr>
        <w:t xml:space="preserve"> and the vial of diluent for </w:t>
      </w:r>
      <w:proofErr w:type="spellStart"/>
      <w:r w:rsidRPr="00C96863">
        <w:rPr>
          <w:b/>
          <w:szCs w:val="24"/>
        </w:rPr>
        <w:t>ActHIB</w:t>
      </w:r>
      <w:proofErr w:type="spellEnd"/>
      <w:r w:rsidRPr="007E6C74">
        <w:rPr>
          <w:szCs w:val="24"/>
          <w:vertAlign w:val="superscript"/>
        </w:rPr>
        <w:t>®</w:t>
      </w:r>
      <w:r w:rsidRPr="00D81C4F">
        <w:rPr>
          <w:szCs w:val="24"/>
        </w:rPr>
        <w:t>) or to any other component of the vaccine (see package insert for specific components)</w:t>
      </w:r>
    </w:p>
    <w:p w:rsidR="003A29CE" w:rsidRPr="00E07A38" w:rsidRDefault="003A29CE" w:rsidP="003A29CE">
      <w:pPr>
        <w:pStyle w:val="ListParagraph"/>
        <w:autoSpaceDE w:val="0"/>
        <w:autoSpaceDN w:val="0"/>
        <w:adjustRightInd w:val="0"/>
        <w:ind w:left="1065"/>
        <w:rPr>
          <w:b/>
          <w:szCs w:val="24"/>
          <w:u w:val="single"/>
        </w:rPr>
      </w:pPr>
      <w:r w:rsidRPr="00853CAD">
        <w:rPr>
          <w:szCs w:val="24"/>
        </w:rPr>
        <w:t xml:space="preserve">  </w:t>
      </w:r>
    </w:p>
    <w:p w:rsidR="003A29CE" w:rsidRDefault="003A29CE" w:rsidP="003A29CE">
      <w:pPr>
        <w:rPr>
          <w:b/>
          <w:sz w:val="20"/>
          <w:u w:val="single"/>
        </w:rPr>
      </w:pPr>
    </w:p>
    <w:p w:rsidR="003A29CE" w:rsidRDefault="003A29CE" w:rsidP="003A29CE">
      <w:pPr>
        <w:keepNext/>
        <w:keepLines/>
        <w:autoSpaceDE w:val="0"/>
        <w:autoSpaceDN w:val="0"/>
        <w:adjustRightInd w:val="0"/>
        <w:rPr>
          <w:b/>
          <w:szCs w:val="24"/>
          <w:u w:val="single"/>
        </w:rPr>
      </w:pPr>
      <w:r>
        <w:rPr>
          <w:b/>
          <w:szCs w:val="24"/>
          <w:u w:val="single"/>
        </w:rPr>
        <w:t xml:space="preserve">Adverse Events </w:t>
      </w:r>
    </w:p>
    <w:p w:rsidR="003A29CE" w:rsidRDefault="003A29CE" w:rsidP="003A29CE">
      <w:pPr>
        <w:keepNext/>
        <w:keepLines/>
        <w:autoSpaceDE w:val="0"/>
        <w:autoSpaceDN w:val="0"/>
        <w:adjustRightInd w:val="0"/>
        <w:rPr>
          <w:szCs w:val="24"/>
        </w:rPr>
      </w:pPr>
    </w:p>
    <w:p w:rsidR="003A29CE" w:rsidRDefault="003A29CE" w:rsidP="003A29CE">
      <w:pPr>
        <w:pStyle w:val="ListParagraph"/>
        <w:numPr>
          <w:ilvl w:val="0"/>
          <w:numId w:val="2"/>
        </w:numPr>
        <w:autoSpaceDE w:val="0"/>
        <w:autoSpaceDN w:val="0"/>
        <w:adjustRightInd w:val="0"/>
        <w:rPr>
          <w:b/>
          <w:szCs w:val="24"/>
          <w:u w:val="single"/>
        </w:rPr>
      </w:pPr>
      <w:r>
        <w:rPr>
          <w:szCs w:val="24"/>
        </w:rPr>
        <w:t>See the product’s package insert</w:t>
      </w:r>
    </w:p>
    <w:p w:rsidR="003A29CE" w:rsidRPr="002B1434" w:rsidRDefault="003A29CE" w:rsidP="003A29CE">
      <w:pPr>
        <w:pStyle w:val="ListParagraph"/>
        <w:numPr>
          <w:ilvl w:val="0"/>
          <w:numId w:val="2"/>
        </w:numPr>
        <w:autoSpaceDE w:val="0"/>
        <w:autoSpaceDN w:val="0"/>
        <w:adjustRightInd w:val="0"/>
        <w:rPr>
          <w:szCs w:val="24"/>
        </w:rPr>
      </w:pPr>
      <w:r w:rsidRPr="002B1434">
        <w:rPr>
          <w:szCs w:val="24"/>
        </w:rPr>
        <w:t>See Adverse Events Following Vaccinations page of this section</w:t>
      </w:r>
    </w:p>
    <w:p w:rsidR="003A29CE" w:rsidRDefault="003A29CE" w:rsidP="003A29CE">
      <w:pPr>
        <w:autoSpaceDE w:val="0"/>
        <w:autoSpaceDN w:val="0"/>
        <w:adjustRightInd w:val="0"/>
        <w:rPr>
          <w:b/>
          <w:u w:val="single"/>
        </w:rPr>
      </w:pPr>
    </w:p>
    <w:p w:rsidR="003A29CE" w:rsidRDefault="003A29CE" w:rsidP="003A29CE">
      <w:pPr>
        <w:autoSpaceDE w:val="0"/>
        <w:autoSpaceDN w:val="0"/>
        <w:adjustRightInd w:val="0"/>
        <w:spacing w:after="120"/>
        <w:rPr>
          <w:b/>
          <w:u w:val="single"/>
        </w:rPr>
      </w:pPr>
      <w:r>
        <w:rPr>
          <w:b/>
          <w:u w:val="single"/>
        </w:rPr>
        <w:t>Storage and Handling</w:t>
      </w:r>
    </w:p>
    <w:p w:rsidR="003A29CE" w:rsidRDefault="003A29CE" w:rsidP="003A29CE">
      <w:pPr>
        <w:numPr>
          <w:ilvl w:val="0"/>
          <w:numId w:val="3"/>
        </w:numPr>
        <w:autoSpaceDE w:val="0"/>
        <w:autoSpaceDN w:val="0"/>
        <w:adjustRightInd w:val="0"/>
        <w:rPr>
          <w:b/>
          <w:szCs w:val="24"/>
          <w:u w:val="single"/>
        </w:rPr>
      </w:pPr>
      <w:r>
        <w:rPr>
          <w:szCs w:val="24"/>
        </w:rPr>
        <w:t>Store in refrigerator at 36</w:t>
      </w:r>
      <w:r>
        <w:rPr>
          <w:szCs w:val="24"/>
          <w:vertAlign w:val="superscript"/>
        </w:rPr>
        <w:t>o</w:t>
      </w:r>
      <w:r>
        <w:rPr>
          <w:szCs w:val="24"/>
        </w:rPr>
        <w:t>F</w:t>
      </w:r>
      <w:r>
        <w:t xml:space="preserve"> – </w:t>
      </w:r>
      <w:r>
        <w:rPr>
          <w:szCs w:val="24"/>
        </w:rPr>
        <w:t>46</w:t>
      </w:r>
      <w:r>
        <w:rPr>
          <w:szCs w:val="24"/>
          <w:vertAlign w:val="superscript"/>
        </w:rPr>
        <w:t>o</w:t>
      </w:r>
      <w:r>
        <w:rPr>
          <w:szCs w:val="24"/>
        </w:rPr>
        <w:t>F (2</w:t>
      </w:r>
      <w:r>
        <w:rPr>
          <w:szCs w:val="24"/>
          <w:vertAlign w:val="superscript"/>
        </w:rPr>
        <w:t>o</w:t>
      </w:r>
      <w:r>
        <w:rPr>
          <w:szCs w:val="24"/>
        </w:rPr>
        <w:t>C</w:t>
      </w:r>
      <w:r>
        <w:t xml:space="preserve"> – </w:t>
      </w:r>
      <w:r>
        <w:rPr>
          <w:szCs w:val="24"/>
        </w:rPr>
        <w:t>8</w:t>
      </w:r>
      <w:r>
        <w:rPr>
          <w:szCs w:val="24"/>
          <w:vertAlign w:val="superscript"/>
        </w:rPr>
        <w:t>o</w:t>
      </w:r>
      <w:r>
        <w:rPr>
          <w:szCs w:val="24"/>
        </w:rPr>
        <w:t>C).</w:t>
      </w:r>
    </w:p>
    <w:p w:rsidR="003A29CE" w:rsidRDefault="003A29CE" w:rsidP="003A29CE">
      <w:pPr>
        <w:numPr>
          <w:ilvl w:val="0"/>
          <w:numId w:val="3"/>
        </w:numPr>
        <w:autoSpaceDE w:val="0"/>
        <w:autoSpaceDN w:val="0"/>
        <w:adjustRightInd w:val="0"/>
      </w:pPr>
      <w:r w:rsidRPr="007E4199">
        <w:rPr>
          <w:szCs w:val="24"/>
        </w:rPr>
        <w:t xml:space="preserve">DO NOT FREEZE; discard if product </w:t>
      </w:r>
      <w:proofErr w:type="gramStart"/>
      <w:r w:rsidRPr="007E4199">
        <w:rPr>
          <w:szCs w:val="24"/>
        </w:rPr>
        <w:t>has been frozen</w:t>
      </w:r>
      <w:proofErr w:type="gramEnd"/>
      <w:r w:rsidRPr="007E4199">
        <w:rPr>
          <w:szCs w:val="24"/>
        </w:rPr>
        <w:t xml:space="preserve">.  </w:t>
      </w:r>
    </w:p>
    <w:p w:rsidR="003A29CE" w:rsidRDefault="003A29CE" w:rsidP="003A29CE">
      <w:pPr>
        <w:autoSpaceDE w:val="0"/>
        <w:autoSpaceDN w:val="0"/>
        <w:adjustRightInd w:val="0"/>
        <w:rPr>
          <w:sz w:val="18"/>
          <w:szCs w:val="18"/>
        </w:rPr>
      </w:pPr>
    </w:p>
    <w:p w:rsidR="003A29CE" w:rsidRDefault="003A29CE" w:rsidP="003A29CE">
      <w:pPr>
        <w:autoSpaceDE w:val="0"/>
        <w:autoSpaceDN w:val="0"/>
        <w:adjustRightInd w:val="0"/>
        <w:spacing w:after="120"/>
        <w:rPr>
          <w:b/>
          <w:szCs w:val="24"/>
          <w:u w:val="single"/>
        </w:rPr>
      </w:pPr>
      <w:r>
        <w:rPr>
          <w:b/>
          <w:szCs w:val="24"/>
          <w:u w:val="single"/>
        </w:rPr>
        <w:t>Other Important Notes</w:t>
      </w:r>
    </w:p>
    <w:p w:rsidR="003A29CE" w:rsidRDefault="003A29CE" w:rsidP="003A29CE">
      <w:pPr>
        <w:widowControl w:val="0"/>
        <w:numPr>
          <w:ilvl w:val="0"/>
          <w:numId w:val="10"/>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4"/>
        </w:rPr>
      </w:pPr>
      <w:proofErr w:type="spellStart"/>
      <w:r w:rsidRPr="00E21BBD">
        <w:rPr>
          <w:bCs/>
          <w:szCs w:val="24"/>
        </w:rPr>
        <w:t>ActHIB</w:t>
      </w:r>
      <w:proofErr w:type="spellEnd"/>
      <w:r w:rsidRPr="00E21BBD">
        <w:rPr>
          <w:bCs/>
          <w:szCs w:val="24"/>
        </w:rPr>
        <w:t xml:space="preserve"> vaccine</w:t>
      </w:r>
      <w:r w:rsidRPr="00FE4497">
        <w:rPr>
          <w:szCs w:val="24"/>
        </w:rPr>
        <w:t xml:space="preserve"> must </w:t>
      </w:r>
      <w:proofErr w:type="gramStart"/>
      <w:r w:rsidRPr="00FE4497">
        <w:rPr>
          <w:szCs w:val="24"/>
        </w:rPr>
        <w:t>be used</w:t>
      </w:r>
      <w:proofErr w:type="gramEnd"/>
      <w:r w:rsidRPr="00FE4497">
        <w:rPr>
          <w:szCs w:val="24"/>
        </w:rPr>
        <w:t xml:space="preserve"> </w:t>
      </w:r>
      <w:r w:rsidRPr="00FE4497">
        <w:rPr>
          <w:szCs w:val="24"/>
          <w:u w:val="single"/>
        </w:rPr>
        <w:t>&lt;</w:t>
      </w:r>
      <w:r w:rsidRPr="00FE4497">
        <w:rPr>
          <w:szCs w:val="24"/>
        </w:rPr>
        <w:t xml:space="preserve"> 24 hours after reconstitution, or be discarded</w:t>
      </w:r>
      <w:r>
        <w:rPr>
          <w:szCs w:val="24"/>
        </w:rPr>
        <w:t>.</w:t>
      </w:r>
    </w:p>
    <w:p w:rsidR="003A29CE" w:rsidRDefault="003A29CE" w:rsidP="003A29CE">
      <w:pPr>
        <w:autoSpaceDE w:val="0"/>
        <w:autoSpaceDN w:val="0"/>
        <w:adjustRightInd w:val="0"/>
        <w:ind w:left="720"/>
        <w:rPr>
          <w:bCs/>
        </w:rPr>
      </w:pPr>
    </w:p>
    <w:p w:rsidR="003A29CE" w:rsidRPr="00E21BBD" w:rsidRDefault="003A29CE" w:rsidP="003A29CE">
      <w:pPr>
        <w:keepNext/>
        <w:keepLines/>
        <w:autoSpaceDE w:val="0"/>
        <w:autoSpaceDN w:val="0"/>
        <w:adjustRightInd w:val="0"/>
        <w:rPr>
          <w:b/>
          <w:szCs w:val="24"/>
          <w:u w:val="single"/>
        </w:rPr>
      </w:pPr>
      <w:r w:rsidRPr="00E21BBD">
        <w:rPr>
          <w:b/>
          <w:szCs w:val="24"/>
          <w:u w:val="single"/>
        </w:rPr>
        <w:lastRenderedPageBreak/>
        <w:t>References</w:t>
      </w:r>
    </w:p>
    <w:p w:rsidR="003A29CE" w:rsidRDefault="003A29CE" w:rsidP="003A29CE">
      <w:pPr>
        <w:keepNext/>
        <w:keepLines/>
        <w:autoSpaceDE w:val="0"/>
        <w:autoSpaceDN w:val="0"/>
        <w:adjustRightInd w:val="0"/>
        <w:rPr>
          <w:b/>
          <w:bCs/>
          <w:szCs w:val="24"/>
        </w:rPr>
      </w:pPr>
    </w:p>
    <w:p w:rsidR="003A29CE" w:rsidRDefault="003A29CE" w:rsidP="003A29CE">
      <w:pPr>
        <w:autoSpaceDE w:val="0"/>
        <w:autoSpaceDN w:val="0"/>
        <w:adjustRightInd w:val="0"/>
        <w:rPr>
          <w:bCs/>
          <w:szCs w:val="24"/>
        </w:rPr>
      </w:pPr>
      <w:r>
        <w:rPr>
          <w:bCs/>
          <w:szCs w:val="24"/>
        </w:rPr>
        <w:t xml:space="preserve">Advisory Committee on Immunization Practices.  Recommended Immunization Schedule for Children and Adolescents Aged 18 Years or Younger, United States, 2017 </w:t>
      </w:r>
    </w:p>
    <w:p w:rsidR="003A29CE" w:rsidRPr="00907BE1" w:rsidRDefault="003A29CE" w:rsidP="003A29CE">
      <w:pPr>
        <w:autoSpaceDE w:val="0"/>
        <w:autoSpaceDN w:val="0"/>
        <w:adjustRightInd w:val="0"/>
        <w:rPr>
          <w:rFonts w:eastAsia="Calibri"/>
          <w:color w:val="auto"/>
          <w:szCs w:val="24"/>
        </w:rPr>
      </w:pPr>
      <w:hyperlink r:id="rId15" w:history="1">
        <w:r w:rsidRPr="005D7BAA">
          <w:rPr>
            <w:rStyle w:val="Hyperlink"/>
          </w:rPr>
          <w:t>http://www.cdc.gov/vaccines/schedules/downloads/child/0-18yrs-child-combined-schedule.pdf</w:t>
        </w:r>
      </w:hyperlink>
      <w:r>
        <w:t xml:space="preserve">.  </w:t>
      </w:r>
    </w:p>
    <w:p w:rsidR="003A29CE" w:rsidRDefault="003A29CE" w:rsidP="003A29CE">
      <w:pPr>
        <w:autoSpaceDE w:val="0"/>
        <w:autoSpaceDN w:val="0"/>
        <w:adjustRightInd w:val="0"/>
        <w:rPr>
          <w:b/>
          <w:bCs/>
          <w:szCs w:val="24"/>
        </w:rPr>
      </w:pPr>
    </w:p>
    <w:p w:rsidR="003A29CE" w:rsidRDefault="003A29CE" w:rsidP="003A29CE">
      <w:pPr>
        <w:autoSpaceDE w:val="0"/>
        <w:autoSpaceDN w:val="0"/>
        <w:adjustRightInd w:val="0"/>
        <w:rPr>
          <w:szCs w:val="24"/>
          <w:u w:val="single"/>
        </w:rPr>
      </w:pPr>
      <w:proofErr w:type="spellStart"/>
      <w:r w:rsidRPr="00EC1C8D">
        <w:rPr>
          <w:bCs/>
          <w:szCs w:val="24"/>
        </w:rPr>
        <w:t>Briere</w:t>
      </w:r>
      <w:proofErr w:type="spellEnd"/>
      <w:r w:rsidRPr="00EC1C8D">
        <w:rPr>
          <w:bCs/>
          <w:szCs w:val="24"/>
        </w:rPr>
        <w:t xml:space="preserve"> EC, Rubin L, Moro PL, Cohn, A, Clark T, </w:t>
      </w:r>
      <w:proofErr w:type="spellStart"/>
      <w:r w:rsidRPr="00EC1C8D">
        <w:rPr>
          <w:bCs/>
          <w:szCs w:val="24"/>
        </w:rPr>
        <w:t>Messonnier</w:t>
      </w:r>
      <w:proofErr w:type="spellEnd"/>
      <w:r w:rsidRPr="00EC1C8D">
        <w:rPr>
          <w:bCs/>
          <w:szCs w:val="24"/>
        </w:rPr>
        <w:t xml:space="preserve"> N.  Prevention and Control of </w:t>
      </w:r>
      <w:proofErr w:type="spellStart"/>
      <w:r w:rsidRPr="00E21BBD">
        <w:rPr>
          <w:bCs/>
          <w:i/>
          <w:szCs w:val="24"/>
        </w:rPr>
        <w:t>Haemophilus</w:t>
      </w:r>
      <w:proofErr w:type="spellEnd"/>
      <w:r w:rsidRPr="00E21BBD">
        <w:rPr>
          <w:bCs/>
          <w:i/>
          <w:szCs w:val="24"/>
        </w:rPr>
        <w:t xml:space="preserve"> </w:t>
      </w:r>
      <w:proofErr w:type="spellStart"/>
      <w:r w:rsidRPr="00E21BBD">
        <w:rPr>
          <w:bCs/>
          <w:i/>
          <w:szCs w:val="24"/>
        </w:rPr>
        <w:t>influenzae</w:t>
      </w:r>
      <w:proofErr w:type="spellEnd"/>
      <w:r w:rsidRPr="00EC1C8D">
        <w:rPr>
          <w:bCs/>
          <w:szCs w:val="24"/>
        </w:rPr>
        <w:t xml:space="preserve"> Type b Disease: Recommendations of the Advisory Committee on Immunization Practices (ACIP).  MMWR 2014</w:t>
      </w:r>
      <w:proofErr w:type="gramStart"/>
      <w:r w:rsidRPr="00EC1C8D">
        <w:rPr>
          <w:bCs/>
          <w:szCs w:val="24"/>
        </w:rPr>
        <w:t>;63</w:t>
      </w:r>
      <w:proofErr w:type="gramEnd"/>
      <w:r w:rsidRPr="00EC1C8D">
        <w:rPr>
          <w:bCs/>
          <w:szCs w:val="24"/>
        </w:rPr>
        <w:t xml:space="preserve">(No. RR-1):1-14, </w:t>
      </w:r>
      <w:hyperlink r:id="rId16" w:history="1">
        <w:r w:rsidRPr="005D7BAA">
          <w:rPr>
            <w:rStyle w:val="Hyperlink"/>
            <w:szCs w:val="24"/>
          </w:rPr>
          <w:t>http://www.cdc.gov/mmwr/pdf/rr/rr6301.pdf</w:t>
        </w:r>
      </w:hyperlink>
      <w:r>
        <w:rPr>
          <w:bCs/>
          <w:szCs w:val="24"/>
        </w:rPr>
        <w:t xml:space="preserve"> </w:t>
      </w:r>
      <w:r w:rsidRPr="00EC1C8D">
        <w:rPr>
          <w:bCs/>
          <w:szCs w:val="24"/>
        </w:rPr>
        <w:t>.</w:t>
      </w:r>
    </w:p>
    <w:p w:rsidR="003A29CE" w:rsidRDefault="003A29CE" w:rsidP="003A29CE">
      <w:pPr>
        <w:autoSpaceDE w:val="0"/>
        <w:autoSpaceDN w:val="0"/>
        <w:adjustRightInd w:val="0"/>
        <w:rPr>
          <w:szCs w:val="24"/>
          <w:u w:val="single"/>
        </w:rPr>
      </w:pPr>
    </w:p>
    <w:p w:rsidR="003A29CE" w:rsidRDefault="003A29CE" w:rsidP="003A29CE">
      <w:pPr>
        <w:autoSpaceDE w:val="0"/>
        <w:autoSpaceDN w:val="0"/>
        <w:adjustRightInd w:val="0"/>
      </w:pPr>
      <w:r>
        <w:rPr>
          <w:szCs w:val="24"/>
        </w:rPr>
        <w:t>VFC</w:t>
      </w:r>
      <w:r w:rsidRPr="00907BE1">
        <w:rPr>
          <w:rFonts w:eastAsia="Calibri"/>
          <w:color w:val="0000FF"/>
          <w:szCs w:val="24"/>
          <w:u w:val="single"/>
        </w:rPr>
        <w:t xml:space="preserve"> Resolution</w:t>
      </w:r>
      <w:r>
        <w:t xml:space="preserve"> 02/13-2 </w:t>
      </w:r>
      <w:proofErr w:type="spellStart"/>
      <w:r>
        <w:rPr>
          <w:i/>
        </w:rPr>
        <w:t>Haemophilus</w:t>
      </w:r>
      <w:proofErr w:type="spellEnd"/>
      <w:r>
        <w:rPr>
          <w:i/>
        </w:rPr>
        <w:t xml:space="preserve"> </w:t>
      </w:r>
      <w:proofErr w:type="spellStart"/>
      <w:r>
        <w:rPr>
          <w:i/>
        </w:rPr>
        <w:t>influenzae</w:t>
      </w:r>
      <w:proofErr w:type="spellEnd"/>
      <w:r>
        <w:t xml:space="preserve"> type b</w:t>
      </w:r>
      <w:proofErr w:type="gramStart"/>
      <w:r>
        <w:t>,</w:t>
      </w:r>
      <w:proofErr w:type="gramEnd"/>
      <w:r>
        <w:br/>
      </w:r>
      <w:hyperlink r:id="rId17" w:history="1">
        <w:r>
          <w:rPr>
            <w:rStyle w:val="Hyperlink"/>
          </w:rPr>
          <w:t>http://www.cdc.gov/vaccines/programs/vfc/providers/resolutions.html</w:t>
        </w:r>
      </w:hyperlink>
    </w:p>
    <w:p w:rsidR="003A29CE" w:rsidRDefault="003A29CE" w:rsidP="003A29CE">
      <w:pPr>
        <w:autoSpaceDE w:val="0"/>
        <w:autoSpaceDN w:val="0"/>
        <w:adjustRightInd w:val="0"/>
      </w:pPr>
    </w:p>
    <w:p w:rsidR="003A29CE" w:rsidRDefault="003A29CE" w:rsidP="003A29CE">
      <w:pPr>
        <w:autoSpaceDE w:val="0"/>
        <w:autoSpaceDN w:val="0"/>
        <w:adjustRightInd w:val="0"/>
      </w:pPr>
      <w:r w:rsidRPr="00E07128">
        <w:t xml:space="preserve">Package Insert:  </w:t>
      </w:r>
      <w:proofErr w:type="spellStart"/>
      <w:r w:rsidRPr="00C96863">
        <w:rPr>
          <w:b/>
        </w:rPr>
        <w:t>ActHIB</w:t>
      </w:r>
      <w:proofErr w:type="spellEnd"/>
      <w:r w:rsidR="00C96863">
        <w:rPr>
          <w:vertAlign w:val="superscript"/>
        </w:rPr>
        <w:t>®</w:t>
      </w:r>
      <w:r w:rsidRPr="00E07128">
        <w:t xml:space="preserve"> (Dated </w:t>
      </w:r>
      <w:r>
        <w:t>12</w:t>
      </w:r>
      <w:r w:rsidRPr="00E07128">
        <w:t>/201</w:t>
      </w:r>
      <w:r>
        <w:t>5</w:t>
      </w:r>
      <w:r w:rsidRPr="00E07128">
        <w:t xml:space="preserve">) </w:t>
      </w:r>
      <w:hyperlink r:id="rId18" w:history="1">
        <w:r w:rsidRPr="00BE7610">
          <w:rPr>
            <w:rStyle w:val="Hyperlink"/>
          </w:rPr>
          <w:t>https://www.vaccineshoppe.com/image.cfm?doc_id=11167&amp;image_type=product_pdf</w:t>
        </w:r>
      </w:hyperlink>
      <w:r>
        <w:t xml:space="preserve">. </w:t>
      </w:r>
    </w:p>
    <w:p w:rsidR="003A29CE" w:rsidRDefault="003A29CE" w:rsidP="003A29CE">
      <w:pPr>
        <w:autoSpaceDE w:val="0"/>
        <w:autoSpaceDN w:val="0"/>
        <w:adjustRightInd w:val="0"/>
      </w:pPr>
    </w:p>
    <w:p w:rsidR="003A29CE" w:rsidRDefault="003A29CE" w:rsidP="003A29CE">
      <w:pPr>
        <w:autoSpaceDE w:val="0"/>
        <w:autoSpaceDN w:val="0"/>
        <w:adjustRightInd w:val="0"/>
      </w:pPr>
      <w:r w:rsidRPr="00660161">
        <w:t xml:space="preserve">Package Insert:  </w:t>
      </w:r>
      <w:r w:rsidRPr="00C96863">
        <w:rPr>
          <w:b/>
        </w:rPr>
        <w:t>COMVAX</w:t>
      </w:r>
      <w:r w:rsidR="00C96863">
        <w:rPr>
          <w:vertAlign w:val="superscript"/>
        </w:rPr>
        <w:t>®</w:t>
      </w:r>
      <w:r>
        <w:t xml:space="preserve"> (Dated 12/2010</w:t>
      </w:r>
      <w:r w:rsidRPr="00660161">
        <w:t xml:space="preserve">) </w:t>
      </w:r>
      <w:hyperlink r:id="rId19" w:history="1">
        <w:r w:rsidRPr="00BE7610">
          <w:rPr>
            <w:rStyle w:val="Hyperlink"/>
          </w:rPr>
          <w:t>http://www.merck.com/product/usa/pi_circulars/c/comvax/comvax_pi.pdf</w:t>
        </w:r>
      </w:hyperlink>
      <w:r>
        <w:t xml:space="preserve">. </w:t>
      </w:r>
    </w:p>
    <w:p w:rsidR="003A29CE" w:rsidRDefault="003A29CE" w:rsidP="003A29CE">
      <w:pPr>
        <w:autoSpaceDE w:val="0"/>
        <w:autoSpaceDN w:val="0"/>
        <w:adjustRightInd w:val="0"/>
      </w:pPr>
    </w:p>
    <w:p w:rsidR="003A29CE" w:rsidRDefault="003A29CE" w:rsidP="003A29CE">
      <w:pPr>
        <w:autoSpaceDE w:val="0"/>
        <w:autoSpaceDN w:val="0"/>
        <w:adjustRightInd w:val="0"/>
      </w:pPr>
      <w:r w:rsidRPr="00660161">
        <w:t xml:space="preserve">Package Insert:  </w:t>
      </w:r>
      <w:r>
        <w:t>HIBERIX</w:t>
      </w:r>
      <w:r w:rsidR="00C96863">
        <w:rPr>
          <w:vertAlign w:val="superscript"/>
        </w:rPr>
        <w:t>®</w:t>
      </w:r>
      <w:r w:rsidRPr="00660161">
        <w:t xml:space="preserve"> (Dated 12/2010) </w:t>
      </w:r>
      <w:hyperlink r:id="rId20" w:history="1">
        <w:r w:rsidRPr="00BE7610">
          <w:rPr>
            <w:rStyle w:val="Hyperlink"/>
          </w:rPr>
          <w:t>https://www.gsksource.com/pharma/content/dam/GlaxoSmithKline/US/en/Prescribing_Information/Hiberix/pdf/HIBERIX.PDF</w:t>
        </w:r>
      </w:hyperlink>
      <w:r w:rsidRPr="00660161">
        <w:t>.</w:t>
      </w:r>
    </w:p>
    <w:p w:rsidR="003A29CE" w:rsidRDefault="003A29CE" w:rsidP="003A29CE">
      <w:pPr>
        <w:autoSpaceDE w:val="0"/>
        <w:autoSpaceDN w:val="0"/>
        <w:adjustRightInd w:val="0"/>
      </w:pPr>
    </w:p>
    <w:p w:rsidR="003A29CE" w:rsidRDefault="003A29CE" w:rsidP="003A29CE">
      <w:pPr>
        <w:autoSpaceDE w:val="0"/>
        <w:autoSpaceDN w:val="0"/>
        <w:adjustRightInd w:val="0"/>
      </w:pPr>
      <w:r w:rsidRPr="00E07128">
        <w:t xml:space="preserve">Package Insert:  </w:t>
      </w:r>
      <w:r>
        <w:t>MENHIBRIX</w:t>
      </w:r>
      <w:r w:rsidR="00C96863">
        <w:rPr>
          <w:vertAlign w:val="superscript"/>
        </w:rPr>
        <w:t>®</w:t>
      </w:r>
      <w:r w:rsidRPr="00E07128">
        <w:t xml:space="preserve"> (Dated </w:t>
      </w:r>
      <w:r>
        <w:t>11</w:t>
      </w:r>
      <w:r w:rsidRPr="00E07128">
        <w:t>/201</w:t>
      </w:r>
      <w:r>
        <w:t>3</w:t>
      </w:r>
      <w:r w:rsidRPr="00E07128">
        <w:t xml:space="preserve">) </w:t>
      </w:r>
      <w:hyperlink r:id="rId21" w:history="1">
        <w:r w:rsidRPr="00BE7610">
          <w:rPr>
            <w:rStyle w:val="Hyperlink"/>
          </w:rPr>
          <w:t>https://gsksource.com/pharma/content/dam/GlaxoSmithKline/US/en/Prescribing_Information/Menhibrix/pdf/MENHIBRIX.PDF</w:t>
        </w:r>
      </w:hyperlink>
      <w:r>
        <w:t>.</w:t>
      </w:r>
    </w:p>
    <w:p w:rsidR="003A29CE" w:rsidRDefault="003A29CE" w:rsidP="003A29CE">
      <w:pPr>
        <w:autoSpaceDE w:val="0"/>
        <w:autoSpaceDN w:val="0"/>
        <w:adjustRightInd w:val="0"/>
      </w:pPr>
      <w:bookmarkStart w:id="0" w:name="_GoBack"/>
      <w:bookmarkEnd w:id="0"/>
    </w:p>
    <w:p w:rsidR="003A29CE" w:rsidRDefault="003A29CE" w:rsidP="003A29CE">
      <w:pPr>
        <w:autoSpaceDE w:val="0"/>
        <w:autoSpaceDN w:val="0"/>
        <w:adjustRightInd w:val="0"/>
      </w:pPr>
      <w:r w:rsidRPr="00E07128">
        <w:t xml:space="preserve">Package Insert:  </w:t>
      </w:r>
      <w:proofErr w:type="spellStart"/>
      <w:r w:rsidRPr="00C96863">
        <w:rPr>
          <w:b/>
        </w:rPr>
        <w:t>PedvaxHIB</w:t>
      </w:r>
      <w:proofErr w:type="spellEnd"/>
      <w:r w:rsidR="00C96863">
        <w:rPr>
          <w:vertAlign w:val="superscript"/>
        </w:rPr>
        <w:t>®</w:t>
      </w:r>
      <w:r w:rsidRPr="00E07128">
        <w:t xml:space="preserve"> (Dated </w:t>
      </w:r>
      <w:r>
        <w:t>12</w:t>
      </w:r>
      <w:r w:rsidRPr="00E07128">
        <w:t>/201</w:t>
      </w:r>
      <w:r>
        <w:t>5</w:t>
      </w:r>
      <w:r w:rsidRPr="00E07128">
        <w:t xml:space="preserve">) </w:t>
      </w:r>
      <w:hyperlink r:id="rId22" w:history="1">
        <w:r w:rsidRPr="00BE7610">
          <w:rPr>
            <w:rStyle w:val="Hyperlink"/>
          </w:rPr>
          <w:t>http://www.merck.com/product/usa/pi_circulars/p/pedvax_hib/pedvax_pi.pdf</w:t>
        </w:r>
      </w:hyperlink>
      <w:r>
        <w:t xml:space="preserve">. </w:t>
      </w:r>
    </w:p>
    <w:p w:rsidR="003A29CE" w:rsidRDefault="003A29CE" w:rsidP="003A29CE">
      <w:pPr>
        <w:autoSpaceDE w:val="0"/>
        <w:autoSpaceDN w:val="0"/>
        <w:adjustRightInd w:val="0"/>
      </w:pPr>
    </w:p>
    <w:p w:rsidR="003A29CE" w:rsidRDefault="003A29CE" w:rsidP="003A29CE">
      <w:pPr>
        <w:autoSpaceDE w:val="0"/>
        <w:autoSpaceDN w:val="0"/>
        <w:adjustRightInd w:val="0"/>
      </w:pPr>
      <w:r w:rsidRPr="00B120E8">
        <w:t xml:space="preserve">Package Insert:  </w:t>
      </w:r>
      <w:r w:rsidR="00C96863" w:rsidRPr="00B120E8">
        <w:t>PE</w:t>
      </w:r>
      <w:r w:rsidR="00C96863">
        <w:t>NTACEL</w:t>
      </w:r>
      <w:r w:rsidR="00C96863">
        <w:rPr>
          <w:vertAlign w:val="superscript"/>
        </w:rPr>
        <w:t>®</w:t>
      </w:r>
      <w:r>
        <w:t xml:space="preserve"> (Dated 10</w:t>
      </w:r>
      <w:r w:rsidRPr="00B120E8">
        <w:t>/201</w:t>
      </w:r>
      <w:r>
        <w:t>3</w:t>
      </w:r>
      <w:r w:rsidRPr="00B120E8">
        <w:t xml:space="preserve">) </w:t>
      </w:r>
      <w:hyperlink r:id="rId23" w:history="1">
        <w:r w:rsidRPr="00BE7610">
          <w:rPr>
            <w:rStyle w:val="Hyperlink"/>
          </w:rPr>
          <w:t>https://www.vaccineshoppe.com/image.cfm?doc_id=11169&amp;image_type=product_pdf</w:t>
        </w:r>
      </w:hyperlink>
      <w:r>
        <w:t>.</w:t>
      </w:r>
    </w:p>
    <w:p w:rsidR="003A29CE" w:rsidRDefault="003A29CE" w:rsidP="003A29CE">
      <w:pPr>
        <w:autoSpaceDE w:val="0"/>
        <w:autoSpaceDN w:val="0"/>
        <w:adjustRightInd w:val="0"/>
      </w:pPr>
    </w:p>
    <w:p w:rsidR="003A29CE" w:rsidRPr="009C1A7F" w:rsidRDefault="003A29CE" w:rsidP="003A29CE">
      <w:pPr>
        <w:autoSpaceDE w:val="0"/>
        <w:autoSpaceDN w:val="0"/>
        <w:adjustRightInd w:val="0"/>
      </w:pPr>
      <w:r w:rsidRPr="009C1A7F">
        <w:t>Immunize.org</w:t>
      </w:r>
      <w:proofErr w:type="gramStart"/>
      <w:r w:rsidRPr="009C1A7F">
        <w:t>.  Administering</w:t>
      </w:r>
      <w:proofErr w:type="gramEnd"/>
      <w:r w:rsidRPr="009C1A7F">
        <w:t xml:space="preserve"> Vaccines:  Dose, Route, Site, and Needle Size, Item #P3085 (11/15), </w:t>
      </w:r>
      <w:hyperlink r:id="rId24" w:history="1">
        <w:r w:rsidRPr="00567592">
          <w:rPr>
            <w:color w:val="0000FF"/>
            <w:u w:val="single"/>
          </w:rPr>
          <w:t>http://www.immunize.org/catg.d/p3085.pdf</w:t>
        </w:r>
      </w:hyperlink>
      <w:r w:rsidRPr="009C1A7F">
        <w:t xml:space="preserve"> </w:t>
      </w:r>
    </w:p>
    <w:p w:rsidR="003A29CE" w:rsidRDefault="003A29CE" w:rsidP="003A29CE">
      <w:pPr>
        <w:autoSpaceDE w:val="0"/>
        <w:autoSpaceDN w:val="0"/>
        <w:adjustRightInd w:val="0"/>
      </w:pPr>
    </w:p>
    <w:p w:rsidR="003A29CE" w:rsidRDefault="003A29CE" w:rsidP="003A29CE">
      <w:pPr>
        <w:autoSpaceDE w:val="0"/>
        <w:autoSpaceDN w:val="0"/>
        <w:adjustRightInd w:val="0"/>
      </w:pPr>
    </w:p>
    <w:p w:rsidR="003A29CE" w:rsidRDefault="003A29CE" w:rsidP="003A29CE">
      <w:pPr>
        <w:autoSpaceDE w:val="0"/>
        <w:autoSpaceDN w:val="0"/>
        <w:adjustRightInd w:val="0"/>
      </w:pPr>
    </w:p>
    <w:p w:rsidR="003A29CE" w:rsidRDefault="003A29CE" w:rsidP="003A29CE">
      <w:pPr>
        <w:autoSpaceDE w:val="0"/>
        <w:autoSpaceDN w:val="0"/>
        <w:adjustRightInd w:val="0"/>
      </w:pPr>
    </w:p>
    <w:p w:rsidR="003A29CE" w:rsidRDefault="003A29CE" w:rsidP="003A29CE">
      <w:pPr>
        <w:autoSpaceDE w:val="0"/>
        <w:autoSpaceDN w:val="0"/>
        <w:adjustRightInd w:val="0"/>
      </w:pPr>
    </w:p>
    <w:p w:rsidR="003A29CE" w:rsidRDefault="003A29CE" w:rsidP="003A29CE">
      <w:pPr>
        <w:autoSpaceDE w:val="0"/>
        <w:autoSpaceDN w:val="0"/>
        <w:adjustRightInd w:val="0"/>
      </w:pPr>
    </w:p>
    <w:p w:rsidR="003A29CE" w:rsidRDefault="003A29CE" w:rsidP="003A29CE">
      <w:pPr>
        <w:autoSpaceDE w:val="0"/>
        <w:autoSpaceDN w:val="0"/>
        <w:adjustRightInd w:val="0"/>
      </w:pPr>
    </w:p>
    <w:p w:rsidR="00F25F63" w:rsidRDefault="003A29CE" w:rsidP="003A29CE">
      <w:r>
        <w:t>Updated July 1, 2016 and July 1, 2017</w:t>
      </w:r>
    </w:p>
    <w:sectPr w:rsidR="00F25F6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F0" w:rsidRDefault="00CE2BF0" w:rsidP="003A29CE">
      <w:r>
        <w:separator/>
      </w:r>
    </w:p>
  </w:endnote>
  <w:endnote w:type="continuationSeparator" w:id="0">
    <w:p w:rsidR="00CE2BF0" w:rsidRDefault="00CE2BF0" w:rsidP="003A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CE" w:rsidRDefault="003A29CE">
    <w:pPr>
      <w:pStyle w:val="Footer"/>
      <w:jc w:val="center"/>
      <w:rPr>
        <w:color w:val="auto"/>
        <w:sz w:val="16"/>
        <w:szCs w:val="16"/>
      </w:rPr>
    </w:pPr>
    <w:r w:rsidRPr="003A29CE">
      <w:rPr>
        <w:color w:val="auto"/>
        <w:sz w:val="16"/>
        <w:szCs w:val="16"/>
      </w:rPr>
      <w:t xml:space="preserve">Page </w:t>
    </w:r>
    <w:r w:rsidRPr="003A29CE">
      <w:rPr>
        <w:color w:val="auto"/>
        <w:sz w:val="16"/>
        <w:szCs w:val="16"/>
      </w:rPr>
      <w:fldChar w:fldCharType="begin"/>
    </w:r>
    <w:r w:rsidRPr="003A29CE">
      <w:rPr>
        <w:color w:val="auto"/>
        <w:sz w:val="16"/>
        <w:szCs w:val="16"/>
      </w:rPr>
      <w:instrText xml:space="preserve"> PAGE  \* Arabic  \* MERGEFORMAT </w:instrText>
    </w:r>
    <w:r w:rsidRPr="003A29CE">
      <w:rPr>
        <w:color w:val="auto"/>
        <w:sz w:val="16"/>
        <w:szCs w:val="16"/>
      </w:rPr>
      <w:fldChar w:fldCharType="separate"/>
    </w:r>
    <w:r w:rsidR="00C96863">
      <w:rPr>
        <w:noProof/>
        <w:color w:val="auto"/>
        <w:sz w:val="16"/>
        <w:szCs w:val="16"/>
      </w:rPr>
      <w:t>7</w:t>
    </w:r>
    <w:r w:rsidRPr="003A29CE">
      <w:rPr>
        <w:color w:val="auto"/>
        <w:sz w:val="16"/>
        <w:szCs w:val="16"/>
      </w:rPr>
      <w:fldChar w:fldCharType="end"/>
    </w:r>
    <w:r w:rsidRPr="003A29CE">
      <w:rPr>
        <w:color w:val="auto"/>
        <w:sz w:val="16"/>
        <w:szCs w:val="16"/>
      </w:rPr>
      <w:t xml:space="preserve"> of </w:t>
    </w:r>
    <w:r w:rsidRPr="003A29CE">
      <w:rPr>
        <w:color w:val="auto"/>
        <w:sz w:val="16"/>
        <w:szCs w:val="16"/>
      </w:rPr>
      <w:fldChar w:fldCharType="begin"/>
    </w:r>
    <w:r w:rsidRPr="003A29CE">
      <w:rPr>
        <w:color w:val="auto"/>
        <w:sz w:val="16"/>
        <w:szCs w:val="16"/>
      </w:rPr>
      <w:instrText xml:space="preserve"> NUMPAGES  \* Arabic  \* MERGEFORMAT </w:instrText>
    </w:r>
    <w:r w:rsidRPr="003A29CE">
      <w:rPr>
        <w:color w:val="auto"/>
        <w:sz w:val="16"/>
        <w:szCs w:val="16"/>
      </w:rPr>
      <w:fldChar w:fldCharType="separate"/>
    </w:r>
    <w:r w:rsidR="00C96863">
      <w:rPr>
        <w:noProof/>
        <w:color w:val="auto"/>
        <w:sz w:val="16"/>
        <w:szCs w:val="16"/>
      </w:rPr>
      <w:t>7</w:t>
    </w:r>
    <w:r w:rsidRPr="003A29CE">
      <w:rPr>
        <w:color w:val="auto"/>
        <w:sz w:val="16"/>
        <w:szCs w:val="16"/>
      </w:rPr>
      <w:fldChar w:fldCharType="end"/>
    </w:r>
  </w:p>
  <w:p w:rsidR="003A29CE" w:rsidRDefault="003A29CE">
    <w:pPr>
      <w:pStyle w:val="Footer"/>
      <w:jc w:val="center"/>
      <w:rPr>
        <w:color w:val="auto"/>
        <w:sz w:val="16"/>
        <w:szCs w:val="16"/>
      </w:rPr>
    </w:pPr>
    <w:r>
      <w:rPr>
        <w:color w:val="auto"/>
        <w:sz w:val="16"/>
        <w:szCs w:val="16"/>
      </w:rPr>
      <w:t>Core Clinical Service Guide</w:t>
    </w:r>
  </w:p>
  <w:p w:rsidR="003A29CE" w:rsidRDefault="003A29CE">
    <w:pPr>
      <w:pStyle w:val="Footer"/>
      <w:jc w:val="center"/>
      <w:rPr>
        <w:color w:val="auto"/>
        <w:sz w:val="16"/>
        <w:szCs w:val="16"/>
      </w:rPr>
    </w:pPr>
    <w:r>
      <w:rPr>
        <w:color w:val="auto"/>
        <w:sz w:val="16"/>
        <w:szCs w:val="16"/>
      </w:rPr>
      <w:t>Section:  Immunizations – (L) – Hib Conjugate Vaccine (</w:t>
    </w:r>
    <w:proofErr w:type="spellStart"/>
    <w:r>
      <w:rPr>
        <w:color w:val="auto"/>
        <w:sz w:val="16"/>
        <w:szCs w:val="16"/>
      </w:rPr>
      <w:t>PedvaxHIB</w:t>
    </w:r>
    <w:proofErr w:type="spellEnd"/>
    <w:r>
      <w:rPr>
        <w:color w:val="auto"/>
        <w:sz w:val="16"/>
        <w:szCs w:val="16"/>
      </w:rPr>
      <w:t xml:space="preserve"> and </w:t>
    </w:r>
    <w:proofErr w:type="spellStart"/>
    <w:r>
      <w:rPr>
        <w:color w:val="auto"/>
        <w:sz w:val="16"/>
        <w:szCs w:val="16"/>
      </w:rPr>
      <w:t>ActHIB</w:t>
    </w:r>
    <w:proofErr w:type="spellEnd"/>
    <w:r>
      <w:rPr>
        <w:color w:val="auto"/>
        <w:sz w:val="16"/>
        <w:szCs w:val="16"/>
      </w:rPr>
      <w:t>)</w:t>
    </w:r>
  </w:p>
  <w:p w:rsidR="003A29CE" w:rsidRPr="003A29CE" w:rsidRDefault="003A29CE">
    <w:pPr>
      <w:pStyle w:val="Footer"/>
      <w:jc w:val="center"/>
      <w:rPr>
        <w:color w:val="auto"/>
        <w:sz w:val="16"/>
        <w:szCs w:val="16"/>
      </w:rPr>
    </w:pPr>
    <w:r>
      <w:rPr>
        <w:color w:val="auto"/>
        <w:sz w:val="16"/>
        <w:szCs w:val="16"/>
      </w:rPr>
      <w:t>July 1, 2018</w:t>
    </w:r>
  </w:p>
  <w:p w:rsidR="003A29CE" w:rsidRDefault="003A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F0" w:rsidRDefault="00CE2BF0" w:rsidP="003A29CE">
      <w:r>
        <w:separator/>
      </w:r>
    </w:p>
  </w:footnote>
  <w:footnote w:type="continuationSeparator" w:id="0">
    <w:p w:rsidR="00CE2BF0" w:rsidRDefault="00CE2BF0" w:rsidP="003A2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B68"/>
    <w:multiLevelType w:val="hybridMultilevel"/>
    <w:tmpl w:val="046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25BEA"/>
    <w:multiLevelType w:val="hybridMultilevel"/>
    <w:tmpl w:val="B32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113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377E9D"/>
    <w:multiLevelType w:val="hybridMultilevel"/>
    <w:tmpl w:val="294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E3D7C"/>
    <w:multiLevelType w:val="hybridMultilevel"/>
    <w:tmpl w:val="CE26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5E34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307D0D"/>
    <w:multiLevelType w:val="hybridMultilevel"/>
    <w:tmpl w:val="9FACF9E2"/>
    <w:lvl w:ilvl="0" w:tplc="0BAE878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EA1531"/>
    <w:multiLevelType w:val="hybridMultilevel"/>
    <w:tmpl w:val="6A68A8C2"/>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6AC71D1A"/>
    <w:multiLevelType w:val="hybridMultilevel"/>
    <w:tmpl w:val="42BA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211C5"/>
    <w:multiLevelType w:val="hybridMultilevel"/>
    <w:tmpl w:val="D8862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C8C5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6F3841"/>
    <w:multiLevelType w:val="hybridMultilevel"/>
    <w:tmpl w:val="751C30E2"/>
    <w:lvl w:ilvl="0" w:tplc="04090001">
      <w:start w:val="1"/>
      <w:numFmt w:val="bullet"/>
      <w:lvlText w:val=""/>
      <w:lvlJc w:val="left"/>
      <w:pPr>
        <w:tabs>
          <w:tab w:val="num" w:pos="720"/>
        </w:tabs>
        <w:ind w:left="720" w:hanging="360"/>
      </w:pPr>
      <w:rPr>
        <w:rFonts w:ascii="Symbol" w:hAnsi="Symbol" w:hint="default"/>
      </w:rPr>
    </w:lvl>
    <w:lvl w:ilvl="1" w:tplc="6582826A">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2"/>
    <w:lvlOverride w:ilvl="0"/>
    <w:lvlOverride w:ilvl="1"/>
    <w:lvlOverride w:ilvl="2">
      <w:startOverride w:val="1"/>
    </w:lvlOverride>
    <w:lvlOverride w:ilvl="3"/>
    <w:lvlOverride w:ilvl="4"/>
    <w:lvlOverride w:ilvl="5"/>
    <w:lvlOverride w:ilvl="6"/>
    <w:lvlOverride w:ilvl="7"/>
    <w:lvlOverride w:ilvl="8"/>
  </w:num>
  <w:num w:numId="4">
    <w:abstractNumId w:val="10"/>
  </w:num>
  <w:num w:numId="5">
    <w:abstractNumId w:val="2"/>
  </w:num>
  <w:num w:numId="6">
    <w:abstractNumId w:val="4"/>
  </w:num>
  <w:num w:numId="7">
    <w:abstractNumId w:val="11"/>
  </w:num>
  <w:num w:numId="8">
    <w:abstractNumId w:val="7"/>
  </w:num>
  <w:num w:numId="9">
    <w:abstractNumId w:val="8"/>
  </w:num>
  <w:num w:numId="10">
    <w:abstractNumId w:val="5"/>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CC"/>
    <w:rsid w:val="003A29CE"/>
    <w:rsid w:val="006D481E"/>
    <w:rsid w:val="00C96863"/>
    <w:rsid w:val="00CE2BF0"/>
    <w:rsid w:val="00F25F63"/>
    <w:rsid w:val="00FD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82AC"/>
  <w15:chartTrackingRefBased/>
  <w15:docId w15:val="{D7AF516E-FEC5-478C-B954-06FD4668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CE"/>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29CE"/>
    <w:rPr>
      <w:rFonts w:cs="Times New Roman"/>
      <w:color w:val="0000FF"/>
      <w:u w:val="single"/>
    </w:rPr>
  </w:style>
  <w:style w:type="paragraph" w:styleId="ListParagraph">
    <w:name w:val="List Paragraph"/>
    <w:basedOn w:val="Normal"/>
    <w:uiPriority w:val="34"/>
    <w:qFormat/>
    <w:rsid w:val="003A29CE"/>
    <w:pPr>
      <w:ind w:left="720"/>
      <w:contextualSpacing/>
    </w:pPr>
  </w:style>
  <w:style w:type="paragraph" w:styleId="Header">
    <w:name w:val="header"/>
    <w:basedOn w:val="Normal"/>
    <w:link w:val="HeaderChar"/>
    <w:uiPriority w:val="99"/>
    <w:unhideWhenUsed/>
    <w:rsid w:val="003A29CE"/>
    <w:pPr>
      <w:tabs>
        <w:tab w:val="center" w:pos="4680"/>
        <w:tab w:val="right" w:pos="9360"/>
      </w:tabs>
    </w:pPr>
  </w:style>
  <w:style w:type="character" w:customStyle="1" w:styleId="HeaderChar">
    <w:name w:val="Header Char"/>
    <w:basedOn w:val="DefaultParagraphFont"/>
    <w:link w:val="Header"/>
    <w:uiPriority w:val="99"/>
    <w:rsid w:val="003A29CE"/>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3A29CE"/>
    <w:pPr>
      <w:tabs>
        <w:tab w:val="center" w:pos="4680"/>
        <w:tab w:val="right" w:pos="9360"/>
      </w:tabs>
    </w:pPr>
  </w:style>
  <w:style w:type="character" w:customStyle="1" w:styleId="FooterChar">
    <w:name w:val="Footer Char"/>
    <w:basedOn w:val="DefaultParagraphFont"/>
    <w:link w:val="Footer"/>
    <w:uiPriority w:val="99"/>
    <w:rsid w:val="003A29CE"/>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review/mmwrhtml/rr5911a1.htm" TargetMode="External"/><Relationship Id="rId13" Type="http://schemas.openxmlformats.org/officeDocument/2006/relationships/hyperlink" Target="http://www.cdc.gov/vaccines/programs/vfc/providers/resolutions.html" TargetMode="External"/><Relationship Id="rId18" Type="http://schemas.openxmlformats.org/officeDocument/2006/relationships/hyperlink" Target="https://www.cdc.gov/vaccines/schedules/downloads/child/0-18yrs-child-combined-schedule.pdf?doc_id=11167&amp;image_type=product_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dc.gov/mmwr/preview/mmwrhtml/mm6337a4.htm" TargetMode="External"/><Relationship Id="rId7" Type="http://schemas.openxmlformats.org/officeDocument/2006/relationships/hyperlink" Target="http://www.immunize.org/vis" TargetMode="External"/><Relationship Id="rId12" Type="http://schemas.openxmlformats.org/officeDocument/2006/relationships/hyperlink" Target="http://www.cdc.gov/vaccines/schedules/downloads/child/0-18yrs-child-combined-schedule.pdf" TargetMode="External"/><Relationship Id="rId17" Type="http://schemas.openxmlformats.org/officeDocument/2006/relationships/hyperlink" Target="http://www.cdc.gov/vaccines/programs/vfc/providers/resolution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dc.gov/mmwr/pdf/rr/rr6301.pdf" TargetMode="External"/><Relationship Id="rId20" Type="http://schemas.openxmlformats.org/officeDocument/2006/relationships/hyperlink" Target="http://www.cdc.gov/mmwr/preview/mmwrhtml/rr6202a1.htm"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vaccines/programs/vfc/downloads/resolutions/02-13-1-pneumo.pdf" TargetMode="External"/><Relationship Id="rId24" Type="http://schemas.openxmlformats.org/officeDocument/2006/relationships/hyperlink" Target="http://www.cdc.gov/vaccines/programs/vfc/downloads/resolutions/02-13-2-hib.pdf" TargetMode="External"/><Relationship Id="rId5" Type="http://schemas.openxmlformats.org/officeDocument/2006/relationships/footnotes" Target="footnotes.xml"/><Relationship Id="rId15" Type="http://schemas.openxmlformats.org/officeDocument/2006/relationships/hyperlink" Target="http://www.cdc.gov/vaccines/schedules/downloads/child/0-18yrs-child-combined-schedule.pdf" TargetMode="External"/><Relationship Id="rId23" Type="http://schemas.openxmlformats.org/officeDocument/2006/relationships/hyperlink" Target="http://www.cdc.gov/mmwr/preview/mmwrhtml/rr6007a1.htm?doc_id=11169&amp;image_type=product_pdf" TargetMode="External"/><Relationship Id="rId28" Type="http://schemas.openxmlformats.org/officeDocument/2006/relationships/customXml" Target="../customXml/item1.xml"/><Relationship Id="rId10" Type="http://schemas.openxmlformats.org/officeDocument/2006/relationships/hyperlink" Target="http://www.cdc.gov/mmwr/preview/mmwrhtml/rr5911a1.htm" TargetMode="External"/><Relationship Id="rId19" Type="http://schemas.openxmlformats.org/officeDocument/2006/relationships/hyperlink" Target="http://www.fda.gov/downloads/BiologicsBloodVaccines/Vaccines/ApprovedProducts/UCM201669.pdf" TargetMode="External"/><Relationship Id="rId4" Type="http://schemas.openxmlformats.org/officeDocument/2006/relationships/webSettings" Target="webSettings.xml"/><Relationship Id="rId9" Type="http://schemas.openxmlformats.org/officeDocument/2006/relationships/hyperlink" Target="https://www.cdc.gov/vaccines/terms/USVaccines.html" TargetMode="External"/><Relationship Id="rId14" Type="http://schemas.openxmlformats.org/officeDocument/2006/relationships/hyperlink" Target="http://www.merck.com/product/usa/pi_circulars/c/comvax/comvax_pi.pdf" TargetMode="External"/><Relationship Id="rId22" Type="http://schemas.openxmlformats.org/officeDocument/2006/relationships/hyperlink" Target="http://www.cdc.gov/vaccines/schedules/downloads/adult/adult-combined-schedule.pdf"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6A10409A-C812-465C-B799-71A1B69D82A5}"/>
</file>

<file path=customXml/itemProps2.xml><?xml version="1.0" encoding="utf-8"?>
<ds:datastoreItem xmlns:ds="http://schemas.openxmlformats.org/officeDocument/2006/customXml" ds:itemID="{CDC19FB0-B491-4478-88AF-79AC4A839385}"/>
</file>

<file path=customXml/itemProps3.xml><?xml version="1.0" encoding="utf-8"?>
<ds:datastoreItem xmlns:ds="http://schemas.openxmlformats.org/officeDocument/2006/customXml" ds:itemID="{E8813897-C5DA-4CBF-B180-B292CF97D3A8}"/>
</file>

<file path=docProps/app.xml><?xml version="1.0" encoding="utf-8"?>
<Properties xmlns="http://schemas.openxmlformats.org/officeDocument/2006/extended-properties" xmlns:vt="http://schemas.openxmlformats.org/officeDocument/2006/docPropsVTypes">
  <Template>Normal</Template>
  <TotalTime>16</TotalTime>
  <Pages>7</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(L) - Hib Conjugate Vaccine (PedvaxHIB and ActHIB)</dc:title>
  <dc:subject/>
  <dc:creator>Cunningham, Troi (CHFS PH EPI)</dc:creator>
  <cp:keywords/>
  <dc:description/>
  <cp:lastModifiedBy>Cunningham, Troi (CHFS PH EPI)</cp:lastModifiedBy>
  <cp:revision>3</cp:revision>
  <dcterms:created xsi:type="dcterms:W3CDTF">2018-06-29T17:12:00Z</dcterms:created>
  <dcterms:modified xsi:type="dcterms:W3CDTF">2018-06-29T17:29:00Z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