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87" w:rsidRPr="00B43750" w:rsidRDefault="00A75387" w:rsidP="00A75387">
      <w:pPr>
        <w:autoSpaceDE w:val="0"/>
        <w:autoSpaceDN w:val="0"/>
        <w:adjustRightInd w:val="0"/>
        <w:jc w:val="center"/>
        <w:rPr>
          <w:b/>
          <w:sz w:val="28"/>
          <w:szCs w:val="28"/>
        </w:rPr>
      </w:pPr>
      <w:r w:rsidRPr="00B43750">
        <w:rPr>
          <w:b/>
          <w:sz w:val="28"/>
          <w:szCs w:val="28"/>
        </w:rPr>
        <w:t xml:space="preserve">Measles, Mumps, Rubella </w:t>
      </w:r>
      <w:r w:rsidRPr="00B43750">
        <w:rPr>
          <w:rFonts w:ascii="Times New Roman Bold" w:hAnsi="Times New Roman Bold"/>
          <w:b/>
          <w:sz w:val="28"/>
          <w:szCs w:val="28"/>
        </w:rPr>
        <w:t>(MMR)</w:t>
      </w:r>
      <w:r w:rsidRPr="00B43750">
        <w:rPr>
          <w:b/>
          <w:sz w:val="28"/>
          <w:szCs w:val="28"/>
        </w:rPr>
        <w:t xml:space="preserve"> Vaccine</w:t>
      </w:r>
    </w:p>
    <w:p w:rsidR="00A75387" w:rsidRPr="00010FA1" w:rsidRDefault="00A75387" w:rsidP="00A75387">
      <w:pPr>
        <w:autoSpaceDE w:val="0"/>
        <w:autoSpaceDN w:val="0"/>
        <w:adjustRightInd w:val="0"/>
        <w:jc w:val="center"/>
        <w:rPr>
          <w:b/>
          <w:szCs w:val="24"/>
        </w:rPr>
      </w:pPr>
      <w:r w:rsidRPr="00010FA1">
        <w:rPr>
          <w:b/>
          <w:szCs w:val="24"/>
        </w:rPr>
        <w:t xml:space="preserve">For Children, 12 Months </w:t>
      </w:r>
      <w:proofErr w:type="gramStart"/>
      <w:r w:rsidRPr="00010FA1">
        <w:rPr>
          <w:b/>
          <w:szCs w:val="24"/>
        </w:rPr>
        <w:t>Through</w:t>
      </w:r>
      <w:proofErr w:type="gramEnd"/>
      <w:r w:rsidRPr="00010FA1">
        <w:rPr>
          <w:b/>
          <w:szCs w:val="24"/>
        </w:rPr>
        <w:t xml:space="preserve"> 18 Years of Age</w:t>
      </w:r>
    </w:p>
    <w:p w:rsidR="00A75387" w:rsidRPr="007D5520" w:rsidRDefault="00A75387" w:rsidP="00A75387">
      <w:pPr>
        <w:autoSpaceDE w:val="0"/>
        <w:autoSpaceDN w:val="0"/>
        <w:adjustRightInd w:val="0"/>
        <w:rPr>
          <w:szCs w:val="24"/>
        </w:rPr>
      </w:pPr>
    </w:p>
    <w:p w:rsidR="00A75387" w:rsidRDefault="00A75387" w:rsidP="00A75387">
      <w:pPr>
        <w:autoSpaceDE w:val="0"/>
        <w:autoSpaceDN w:val="0"/>
        <w:adjustRightInd w:val="0"/>
        <w:spacing w:after="60"/>
        <w:rPr>
          <w:b/>
          <w:u w:val="single"/>
        </w:rPr>
      </w:pPr>
    </w:p>
    <w:p w:rsidR="00A75387" w:rsidRPr="0074546F" w:rsidRDefault="00A75387" w:rsidP="00A75387">
      <w:pPr>
        <w:autoSpaceDE w:val="0"/>
        <w:autoSpaceDN w:val="0"/>
        <w:adjustRightInd w:val="0"/>
        <w:spacing w:after="60"/>
        <w:rPr>
          <w:b/>
          <w:u w:val="single"/>
        </w:rPr>
      </w:pPr>
      <w:r w:rsidRPr="0074546F">
        <w:rPr>
          <w:b/>
          <w:u w:val="single"/>
        </w:rPr>
        <w:t>Precautions and Contraindications</w:t>
      </w:r>
    </w:p>
    <w:p w:rsidR="00A75387" w:rsidRPr="0074546F" w:rsidRDefault="00A75387" w:rsidP="00A75387">
      <w:pPr>
        <w:autoSpaceDE w:val="0"/>
        <w:autoSpaceDN w:val="0"/>
        <w:adjustRightInd w:val="0"/>
      </w:pPr>
      <w:r w:rsidRPr="0074546F">
        <w:t>Screen all patients for precautions and contraindications to immunization.</w:t>
      </w:r>
    </w:p>
    <w:p w:rsidR="00A75387" w:rsidRPr="002D3E3D" w:rsidRDefault="00A75387" w:rsidP="00A75387">
      <w:pPr>
        <w:widowControl w:val="0"/>
        <w:rPr>
          <w:b/>
          <w:bCs/>
        </w:rPr>
      </w:pPr>
    </w:p>
    <w:p w:rsidR="00A75387" w:rsidRPr="00B43750" w:rsidRDefault="00A75387" w:rsidP="00A75387">
      <w:pPr>
        <w:autoSpaceDE w:val="0"/>
        <w:autoSpaceDN w:val="0"/>
        <w:adjustRightInd w:val="0"/>
        <w:spacing w:after="60"/>
        <w:rPr>
          <w:b/>
          <w:szCs w:val="24"/>
          <w:u w:val="single"/>
        </w:rPr>
      </w:pPr>
      <w:r w:rsidRPr="00B43750">
        <w:rPr>
          <w:b/>
          <w:szCs w:val="24"/>
          <w:u w:val="single"/>
        </w:rPr>
        <w:t>Recommended Schedule</w:t>
      </w:r>
    </w:p>
    <w:p w:rsidR="00A75387" w:rsidRPr="00B43750" w:rsidRDefault="00A75387" w:rsidP="00A75387">
      <w:pPr>
        <w:numPr>
          <w:ilvl w:val="0"/>
          <w:numId w:val="1"/>
        </w:numPr>
        <w:autoSpaceDE w:val="0"/>
        <w:autoSpaceDN w:val="0"/>
        <w:adjustRightInd w:val="0"/>
        <w:rPr>
          <w:szCs w:val="24"/>
        </w:rPr>
      </w:pPr>
      <w:r w:rsidRPr="00B43750">
        <w:rPr>
          <w:szCs w:val="24"/>
        </w:rPr>
        <w:t>Children 12 months through 18 years of age.  (See adult protocol for  those aged 19 and older)</w:t>
      </w:r>
    </w:p>
    <w:p w:rsidR="00A75387" w:rsidRPr="00B43750" w:rsidRDefault="00A75387" w:rsidP="00A75387">
      <w:pPr>
        <w:numPr>
          <w:ilvl w:val="1"/>
          <w:numId w:val="1"/>
        </w:numPr>
        <w:autoSpaceDE w:val="0"/>
        <w:autoSpaceDN w:val="0"/>
        <w:adjustRightInd w:val="0"/>
        <w:rPr>
          <w:szCs w:val="24"/>
        </w:rPr>
      </w:pPr>
      <w:r w:rsidRPr="00B43750">
        <w:rPr>
          <w:szCs w:val="24"/>
        </w:rPr>
        <w:t>The first dose of MMR vaccine is recommended at 12 to 15 months of age</w:t>
      </w:r>
    </w:p>
    <w:p w:rsidR="00A75387" w:rsidRPr="00B43750" w:rsidRDefault="00A75387" w:rsidP="00A75387">
      <w:pPr>
        <w:numPr>
          <w:ilvl w:val="1"/>
          <w:numId w:val="1"/>
        </w:numPr>
        <w:autoSpaceDE w:val="0"/>
        <w:autoSpaceDN w:val="0"/>
        <w:adjustRightInd w:val="0"/>
        <w:rPr>
          <w:szCs w:val="24"/>
        </w:rPr>
      </w:pPr>
      <w:r w:rsidRPr="00B43750">
        <w:rPr>
          <w:szCs w:val="24"/>
        </w:rPr>
        <w:t xml:space="preserve">The second dose </w:t>
      </w:r>
      <w:proofErr w:type="gramStart"/>
      <w:r w:rsidRPr="00B43750">
        <w:rPr>
          <w:szCs w:val="24"/>
        </w:rPr>
        <w:t>is recommended</w:t>
      </w:r>
      <w:proofErr w:type="gramEnd"/>
      <w:r w:rsidRPr="00B43750">
        <w:rPr>
          <w:szCs w:val="24"/>
        </w:rPr>
        <w:t xml:space="preserve"> at 4 to 6 years of age.  The second dose </w:t>
      </w:r>
      <w:proofErr w:type="gramStart"/>
      <w:r w:rsidRPr="00B43750">
        <w:rPr>
          <w:szCs w:val="24"/>
        </w:rPr>
        <w:t>may be administered</w:t>
      </w:r>
      <w:proofErr w:type="gramEnd"/>
      <w:r w:rsidRPr="00B43750">
        <w:rPr>
          <w:szCs w:val="24"/>
        </w:rPr>
        <w:t xml:space="preserve"> before age 4 years, provided at least 4 weeks have elapsed since the first dose.</w:t>
      </w:r>
    </w:p>
    <w:p w:rsidR="00A75387" w:rsidRPr="00B43750" w:rsidRDefault="00A75387" w:rsidP="00A75387">
      <w:pPr>
        <w:numPr>
          <w:ilvl w:val="1"/>
          <w:numId w:val="1"/>
        </w:numPr>
        <w:autoSpaceDE w:val="0"/>
        <w:autoSpaceDN w:val="0"/>
        <w:adjustRightInd w:val="0"/>
        <w:rPr>
          <w:szCs w:val="24"/>
        </w:rPr>
      </w:pPr>
      <w:r w:rsidRPr="00B43750">
        <w:rPr>
          <w:szCs w:val="24"/>
        </w:rPr>
        <w:t>The minimum interval between the two doses of MMR vaccine is 4 weeks.</w:t>
      </w:r>
    </w:p>
    <w:p w:rsidR="00A75387" w:rsidRPr="00B43750" w:rsidRDefault="00A75387" w:rsidP="00A75387">
      <w:pPr>
        <w:numPr>
          <w:ilvl w:val="0"/>
          <w:numId w:val="1"/>
        </w:numPr>
        <w:autoSpaceDE w:val="0"/>
        <w:autoSpaceDN w:val="0"/>
        <w:adjustRightInd w:val="0"/>
        <w:rPr>
          <w:szCs w:val="24"/>
        </w:rPr>
      </w:pPr>
      <w:r w:rsidRPr="00B43750">
        <w:rPr>
          <w:szCs w:val="24"/>
        </w:rPr>
        <w:t xml:space="preserve">If MMR and varicella vaccines </w:t>
      </w:r>
      <w:proofErr w:type="gramStart"/>
      <w:r w:rsidRPr="00B43750">
        <w:rPr>
          <w:szCs w:val="24"/>
        </w:rPr>
        <w:t>are not administered</w:t>
      </w:r>
      <w:proofErr w:type="gramEnd"/>
      <w:r w:rsidRPr="00B43750">
        <w:rPr>
          <w:szCs w:val="24"/>
        </w:rPr>
        <w:t xml:space="preserve"> at the same visit, they should be separated by at least 4 weeks. </w:t>
      </w:r>
    </w:p>
    <w:p w:rsidR="00A75387" w:rsidRPr="00B43750" w:rsidRDefault="00A75387" w:rsidP="00A75387">
      <w:pPr>
        <w:numPr>
          <w:ilvl w:val="0"/>
          <w:numId w:val="1"/>
        </w:numPr>
        <w:autoSpaceDE w:val="0"/>
        <w:autoSpaceDN w:val="0"/>
        <w:adjustRightInd w:val="0"/>
        <w:rPr>
          <w:szCs w:val="24"/>
        </w:rPr>
      </w:pPr>
      <w:r w:rsidRPr="00B43750">
        <w:rPr>
          <w:szCs w:val="24"/>
        </w:rPr>
        <w:t xml:space="preserve">Infants aged </w:t>
      </w:r>
      <w:proofErr w:type="gramStart"/>
      <w:r w:rsidRPr="00B43750">
        <w:rPr>
          <w:szCs w:val="24"/>
        </w:rPr>
        <w:t>6</w:t>
      </w:r>
      <w:proofErr w:type="gramEnd"/>
      <w:r w:rsidRPr="00B43750">
        <w:rPr>
          <w:szCs w:val="24"/>
        </w:rPr>
        <w:t xml:space="preserve"> through 11 months who are traveling internationally should receive one dose of MMR vaccine before departure.  These children should be revaccinated with </w:t>
      </w:r>
      <w:proofErr w:type="gramStart"/>
      <w:r w:rsidRPr="00B43750">
        <w:rPr>
          <w:szCs w:val="24"/>
        </w:rPr>
        <w:t>2</w:t>
      </w:r>
      <w:proofErr w:type="gramEnd"/>
      <w:r w:rsidRPr="00B43750">
        <w:rPr>
          <w:szCs w:val="24"/>
        </w:rPr>
        <w:t> doses of MMR vaccine, the first at ages 12 through 15 months and at least 4 weeks after the previous dose, and the second at ages 4 through 6 years.</w:t>
      </w:r>
    </w:p>
    <w:p w:rsidR="00A75387" w:rsidRDefault="00A75387" w:rsidP="00A75387">
      <w:pPr>
        <w:numPr>
          <w:ilvl w:val="0"/>
          <w:numId w:val="1"/>
        </w:numPr>
        <w:autoSpaceDE w:val="0"/>
        <w:autoSpaceDN w:val="0"/>
        <w:adjustRightInd w:val="0"/>
        <w:rPr>
          <w:szCs w:val="24"/>
        </w:rPr>
      </w:pPr>
      <w:r w:rsidRPr="00B43750">
        <w:rPr>
          <w:szCs w:val="24"/>
        </w:rPr>
        <w:t xml:space="preserve">During a measles outbreak, MMR vaccine </w:t>
      </w:r>
      <w:proofErr w:type="gramStart"/>
      <w:r w:rsidRPr="00B43750">
        <w:rPr>
          <w:szCs w:val="24"/>
        </w:rPr>
        <w:t>may be given</w:t>
      </w:r>
      <w:proofErr w:type="gramEnd"/>
      <w:r w:rsidRPr="00B43750">
        <w:rPr>
          <w:szCs w:val="24"/>
        </w:rPr>
        <w:t xml:space="preserve"> to infants as young as 6 months of age.  These infants should be revaccinated with </w:t>
      </w:r>
      <w:proofErr w:type="gramStart"/>
      <w:r w:rsidRPr="00B43750">
        <w:rPr>
          <w:szCs w:val="24"/>
        </w:rPr>
        <w:t>2</w:t>
      </w:r>
      <w:proofErr w:type="gramEnd"/>
      <w:r w:rsidRPr="00B43750">
        <w:rPr>
          <w:szCs w:val="24"/>
        </w:rPr>
        <w:t xml:space="preserve"> doses of MMR vaccine, the first at ages 12 through 15 months and at least 4 weeks after the previous dose, and the second at ages 4 through 6 years.</w:t>
      </w:r>
    </w:p>
    <w:p w:rsidR="00A75387" w:rsidRPr="00B43750" w:rsidRDefault="00A75387" w:rsidP="00A75387">
      <w:pPr>
        <w:numPr>
          <w:ilvl w:val="0"/>
          <w:numId w:val="1"/>
        </w:numPr>
        <w:autoSpaceDE w:val="0"/>
        <w:autoSpaceDN w:val="0"/>
        <w:adjustRightInd w:val="0"/>
        <w:rPr>
          <w:szCs w:val="24"/>
        </w:rPr>
      </w:pPr>
      <w:r>
        <w:rPr>
          <w:szCs w:val="24"/>
        </w:rPr>
        <w:t>During a mumps outbreak:   A third dose of MMR vaccine should be given to persons previously vaccinated with two doses of a mumps virus-containing vaccine and are identified by public health authorities as being part of a group or population at increased risk for acquiring mumps because of an outbreak.</w:t>
      </w:r>
      <w:r w:rsidRPr="00B43750">
        <w:rPr>
          <w:szCs w:val="24"/>
        </w:rPr>
        <w:br/>
      </w:r>
    </w:p>
    <w:p w:rsidR="00A75387" w:rsidRPr="00B43750" w:rsidRDefault="00A75387" w:rsidP="00A75387">
      <w:pPr>
        <w:autoSpaceDE w:val="0"/>
        <w:autoSpaceDN w:val="0"/>
        <w:adjustRightInd w:val="0"/>
        <w:spacing w:after="60"/>
        <w:rPr>
          <w:b/>
          <w:szCs w:val="24"/>
          <w:u w:val="single"/>
        </w:rPr>
      </w:pPr>
      <w:r w:rsidRPr="00B43750">
        <w:rPr>
          <w:b/>
          <w:szCs w:val="24"/>
          <w:u w:val="single"/>
        </w:rPr>
        <w:t>Dosage and Route</w:t>
      </w:r>
    </w:p>
    <w:p w:rsidR="00A75387" w:rsidRPr="00B43750" w:rsidRDefault="00A75387" w:rsidP="00A75387">
      <w:pPr>
        <w:numPr>
          <w:ilvl w:val="0"/>
          <w:numId w:val="1"/>
        </w:numPr>
        <w:autoSpaceDE w:val="0"/>
        <w:autoSpaceDN w:val="0"/>
        <w:adjustRightInd w:val="0"/>
        <w:spacing w:after="120"/>
        <w:rPr>
          <w:szCs w:val="24"/>
        </w:rPr>
      </w:pPr>
      <w:r w:rsidRPr="00B43750">
        <w:rPr>
          <w:szCs w:val="24"/>
        </w:rPr>
        <w:t>0.5 mL subcutaneously</w:t>
      </w:r>
    </w:p>
    <w:p w:rsidR="00A75387" w:rsidRPr="00B43750" w:rsidRDefault="00A75387" w:rsidP="00A75387">
      <w:pPr>
        <w:autoSpaceDE w:val="0"/>
        <w:autoSpaceDN w:val="0"/>
        <w:adjustRightInd w:val="0"/>
        <w:spacing w:after="60"/>
        <w:rPr>
          <w:b/>
          <w:szCs w:val="24"/>
          <w:u w:val="single"/>
        </w:rPr>
      </w:pPr>
      <w:r w:rsidRPr="00B43750">
        <w:rPr>
          <w:b/>
          <w:szCs w:val="24"/>
          <w:u w:val="single"/>
        </w:rPr>
        <w:t xml:space="preserve">Anatomical Site </w:t>
      </w:r>
    </w:p>
    <w:p w:rsidR="00A75387" w:rsidRPr="00B43750" w:rsidRDefault="00A75387" w:rsidP="00A75387">
      <w:pPr>
        <w:numPr>
          <w:ilvl w:val="0"/>
          <w:numId w:val="1"/>
        </w:numPr>
        <w:autoSpaceDE w:val="0"/>
        <w:autoSpaceDN w:val="0"/>
        <w:adjustRightInd w:val="0"/>
        <w:rPr>
          <w:szCs w:val="24"/>
        </w:rPr>
      </w:pPr>
      <w:r w:rsidRPr="00B43750">
        <w:rPr>
          <w:szCs w:val="24"/>
        </w:rPr>
        <w:t>Outer aspect of the deltoid of the upper arm or in the higher anterolateral area of the thigh.</w:t>
      </w:r>
    </w:p>
    <w:p w:rsidR="00A75387" w:rsidRDefault="00A75387" w:rsidP="00A75387">
      <w:pPr>
        <w:autoSpaceDE w:val="0"/>
        <w:autoSpaceDN w:val="0"/>
        <w:adjustRightInd w:val="0"/>
        <w:rPr>
          <w:b/>
          <w:szCs w:val="24"/>
          <w:u w:val="single"/>
        </w:rPr>
      </w:pPr>
    </w:p>
    <w:p w:rsidR="00A75387" w:rsidRPr="00B43750" w:rsidRDefault="00A75387" w:rsidP="00A75387">
      <w:pPr>
        <w:autoSpaceDE w:val="0"/>
        <w:autoSpaceDN w:val="0"/>
        <w:adjustRightInd w:val="0"/>
        <w:spacing w:after="60"/>
        <w:rPr>
          <w:b/>
          <w:szCs w:val="24"/>
          <w:u w:val="single"/>
        </w:rPr>
      </w:pPr>
      <w:r w:rsidRPr="00B43750">
        <w:rPr>
          <w:b/>
          <w:szCs w:val="24"/>
          <w:u w:val="single"/>
        </w:rPr>
        <w:t>Precautions</w:t>
      </w:r>
    </w:p>
    <w:p w:rsidR="00A75387" w:rsidRPr="00B43750" w:rsidRDefault="00A75387" w:rsidP="00A75387">
      <w:pPr>
        <w:numPr>
          <w:ilvl w:val="0"/>
          <w:numId w:val="1"/>
        </w:numPr>
        <w:autoSpaceDE w:val="0"/>
        <w:autoSpaceDN w:val="0"/>
        <w:adjustRightInd w:val="0"/>
        <w:rPr>
          <w:szCs w:val="24"/>
        </w:rPr>
      </w:pPr>
      <w:r w:rsidRPr="00B43750">
        <w:rPr>
          <w:szCs w:val="24"/>
        </w:rPr>
        <w:t>Prior to administering the vaccine, obtain a vaccination history to determine any reactions to any vaccine including MMR vaccine.</w:t>
      </w:r>
    </w:p>
    <w:p w:rsidR="00A75387" w:rsidRPr="00B43750" w:rsidRDefault="00A75387" w:rsidP="00A75387">
      <w:pPr>
        <w:numPr>
          <w:ilvl w:val="0"/>
          <w:numId w:val="1"/>
        </w:numPr>
        <w:autoSpaceDE w:val="0"/>
        <w:autoSpaceDN w:val="0"/>
        <w:adjustRightInd w:val="0"/>
        <w:rPr>
          <w:szCs w:val="24"/>
        </w:rPr>
      </w:pPr>
      <w:r w:rsidRPr="00F57DE8">
        <w:rPr>
          <w:szCs w:val="24"/>
        </w:rPr>
        <w:t xml:space="preserve">Pregnancy </w:t>
      </w:r>
      <w:proofErr w:type="gramStart"/>
      <w:r w:rsidRPr="00F57DE8">
        <w:rPr>
          <w:szCs w:val="24"/>
        </w:rPr>
        <w:t>should be avoided</w:t>
      </w:r>
      <w:proofErr w:type="gramEnd"/>
      <w:r w:rsidRPr="00F57DE8">
        <w:rPr>
          <w:szCs w:val="24"/>
        </w:rPr>
        <w:t xml:space="preserve"> for </w:t>
      </w:r>
      <w:r>
        <w:rPr>
          <w:szCs w:val="24"/>
        </w:rPr>
        <w:t>at least 1 month</w:t>
      </w:r>
      <w:r w:rsidRPr="00F57DE8">
        <w:rPr>
          <w:szCs w:val="24"/>
        </w:rPr>
        <w:t xml:space="preserve"> after receivin</w:t>
      </w:r>
      <w:bookmarkStart w:id="0" w:name="_GoBack"/>
      <w:bookmarkEnd w:id="0"/>
      <w:r w:rsidRPr="00F57DE8">
        <w:rPr>
          <w:szCs w:val="24"/>
        </w:rPr>
        <w:t>g the MMR vaccine</w:t>
      </w:r>
      <w:r w:rsidRPr="00F57DE8">
        <w:rPr>
          <w:szCs w:val="24"/>
          <w:vertAlign w:val="superscript"/>
        </w:rPr>
        <w:t>1</w:t>
      </w:r>
      <w:r w:rsidRPr="00F57DE8">
        <w:rPr>
          <w:szCs w:val="24"/>
        </w:rPr>
        <w:t>.</w:t>
      </w:r>
    </w:p>
    <w:p w:rsidR="00A75387" w:rsidRPr="00F57DE8" w:rsidRDefault="00A75387" w:rsidP="00A75387">
      <w:pPr>
        <w:autoSpaceDE w:val="0"/>
        <w:autoSpaceDN w:val="0"/>
        <w:adjustRightInd w:val="0"/>
        <w:ind w:left="360"/>
        <w:rPr>
          <w:b/>
          <w:szCs w:val="24"/>
          <w:u w:val="single"/>
        </w:rPr>
      </w:pPr>
    </w:p>
    <w:p w:rsidR="00A75387" w:rsidRDefault="00A75387" w:rsidP="00A75387">
      <w:pPr>
        <w:autoSpaceDE w:val="0"/>
        <w:autoSpaceDN w:val="0"/>
        <w:adjustRightInd w:val="0"/>
        <w:spacing w:after="60"/>
        <w:rPr>
          <w:b/>
          <w:szCs w:val="24"/>
          <w:u w:val="single"/>
        </w:rPr>
      </w:pPr>
    </w:p>
    <w:p w:rsidR="00A75387" w:rsidRDefault="00A75387" w:rsidP="00A75387">
      <w:pPr>
        <w:autoSpaceDE w:val="0"/>
        <w:autoSpaceDN w:val="0"/>
        <w:adjustRightInd w:val="0"/>
        <w:spacing w:after="60"/>
        <w:rPr>
          <w:b/>
          <w:szCs w:val="24"/>
          <w:u w:val="single"/>
        </w:rPr>
      </w:pPr>
    </w:p>
    <w:p w:rsidR="00A75387" w:rsidRDefault="00A75387" w:rsidP="00A75387">
      <w:pPr>
        <w:autoSpaceDE w:val="0"/>
        <w:autoSpaceDN w:val="0"/>
        <w:adjustRightInd w:val="0"/>
        <w:spacing w:after="60"/>
        <w:rPr>
          <w:b/>
          <w:szCs w:val="24"/>
          <w:u w:val="single"/>
        </w:rPr>
      </w:pPr>
    </w:p>
    <w:p w:rsidR="00A75387" w:rsidRPr="00B43750" w:rsidRDefault="00A75387" w:rsidP="00A75387">
      <w:pPr>
        <w:autoSpaceDE w:val="0"/>
        <w:autoSpaceDN w:val="0"/>
        <w:adjustRightInd w:val="0"/>
        <w:spacing w:after="60"/>
        <w:rPr>
          <w:b/>
          <w:szCs w:val="24"/>
          <w:u w:val="single"/>
        </w:rPr>
      </w:pPr>
      <w:r w:rsidRPr="00B43750">
        <w:rPr>
          <w:b/>
          <w:szCs w:val="24"/>
          <w:u w:val="single"/>
        </w:rPr>
        <w:t>Contraindications</w:t>
      </w:r>
    </w:p>
    <w:p w:rsidR="00A75387" w:rsidRPr="00B43750" w:rsidRDefault="00A75387" w:rsidP="00A75387">
      <w:pPr>
        <w:autoSpaceDE w:val="0"/>
        <w:autoSpaceDN w:val="0"/>
        <w:adjustRightInd w:val="0"/>
        <w:rPr>
          <w:szCs w:val="24"/>
        </w:rPr>
      </w:pPr>
      <w:r w:rsidRPr="00B43750">
        <w:rPr>
          <w:b/>
          <w:szCs w:val="24"/>
        </w:rPr>
        <w:t>DO NOT</w:t>
      </w:r>
      <w:r w:rsidRPr="00B43750">
        <w:rPr>
          <w:szCs w:val="24"/>
        </w:rPr>
        <w:t xml:space="preserve"> administer MMR vaccine to individuals </w:t>
      </w:r>
      <w:proofErr w:type="gramStart"/>
      <w:r w:rsidRPr="00B43750">
        <w:rPr>
          <w:szCs w:val="24"/>
        </w:rPr>
        <w:t>with</w:t>
      </w:r>
      <w:proofErr w:type="gramEnd"/>
      <w:r w:rsidRPr="00B43750">
        <w:rPr>
          <w:szCs w:val="24"/>
        </w:rPr>
        <w:t>:</w:t>
      </w:r>
    </w:p>
    <w:p w:rsidR="00A75387" w:rsidRPr="00B43750" w:rsidRDefault="00A75387" w:rsidP="00A75387">
      <w:pPr>
        <w:numPr>
          <w:ilvl w:val="0"/>
          <w:numId w:val="1"/>
        </w:numPr>
        <w:autoSpaceDE w:val="0"/>
        <w:autoSpaceDN w:val="0"/>
        <w:adjustRightInd w:val="0"/>
        <w:rPr>
          <w:b/>
          <w:szCs w:val="24"/>
          <w:u w:val="single"/>
        </w:rPr>
      </w:pPr>
      <w:r w:rsidRPr="00B43750">
        <w:rPr>
          <w:szCs w:val="24"/>
        </w:rPr>
        <w:t>A history of anaphylactic reactions to neomycin.</w:t>
      </w:r>
    </w:p>
    <w:p w:rsidR="00A75387" w:rsidRPr="00B43750" w:rsidRDefault="00A75387" w:rsidP="00A75387">
      <w:pPr>
        <w:numPr>
          <w:ilvl w:val="0"/>
          <w:numId w:val="1"/>
        </w:numPr>
        <w:autoSpaceDE w:val="0"/>
        <w:autoSpaceDN w:val="0"/>
        <w:adjustRightInd w:val="0"/>
        <w:rPr>
          <w:b/>
          <w:szCs w:val="24"/>
          <w:u w:val="single"/>
        </w:rPr>
      </w:pPr>
      <w:r w:rsidRPr="00B43750">
        <w:rPr>
          <w:szCs w:val="24"/>
        </w:rPr>
        <w:t>A history of hypersensitivity to gelatin or any other component of the vaccine.</w:t>
      </w:r>
    </w:p>
    <w:p w:rsidR="00A75387" w:rsidRPr="00B43750" w:rsidRDefault="00A75387" w:rsidP="00A75387">
      <w:pPr>
        <w:numPr>
          <w:ilvl w:val="0"/>
          <w:numId w:val="1"/>
        </w:numPr>
        <w:autoSpaceDE w:val="0"/>
        <w:autoSpaceDN w:val="0"/>
        <w:adjustRightInd w:val="0"/>
        <w:rPr>
          <w:b/>
          <w:szCs w:val="24"/>
          <w:u w:val="single"/>
        </w:rPr>
      </w:pPr>
      <w:r w:rsidRPr="00B43750">
        <w:rPr>
          <w:szCs w:val="24"/>
        </w:rPr>
        <w:t xml:space="preserve">Blood </w:t>
      </w:r>
      <w:proofErr w:type="spellStart"/>
      <w:r w:rsidRPr="00B43750">
        <w:rPr>
          <w:szCs w:val="24"/>
        </w:rPr>
        <w:t>dyscrasia</w:t>
      </w:r>
      <w:proofErr w:type="spellEnd"/>
      <w:r w:rsidRPr="00B43750">
        <w:rPr>
          <w:szCs w:val="24"/>
        </w:rPr>
        <w:t>, leukemia, lymphomas of any type, malignant neoplasms</w:t>
      </w:r>
    </w:p>
    <w:p w:rsidR="00A75387" w:rsidRPr="00B43750" w:rsidRDefault="00A75387" w:rsidP="00A75387">
      <w:pPr>
        <w:numPr>
          <w:ilvl w:val="0"/>
          <w:numId w:val="1"/>
        </w:numPr>
        <w:autoSpaceDE w:val="0"/>
        <w:autoSpaceDN w:val="0"/>
        <w:adjustRightInd w:val="0"/>
        <w:rPr>
          <w:b/>
          <w:szCs w:val="24"/>
          <w:u w:val="single"/>
        </w:rPr>
      </w:pPr>
      <w:r w:rsidRPr="00B43750">
        <w:rPr>
          <w:szCs w:val="24"/>
        </w:rPr>
        <w:t>Primary and acquired immunodeficiency states, including AIDS</w:t>
      </w:r>
    </w:p>
    <w:p w:rsidR="00A75387" w:rsidRPr="00B43750" w:rsidRDefault="00A75387" w:rsidP="00A75387">
      <w:pPr>
        <w:numPr>
          <w:ilvl w:val="0"/>
          <w:numId w:val="1"/>
        </w:numPr>
        <w:autoSpaceDE w:val="0"/>
        <w:autoSpaceDN w:val="0"/>
        <w:adjustRightInd w:val="0"/>
        <w:rPr>
          <w:b/>
          <w:szCs w:val="24"/>
          <w:u w:val="single"/>
        </w:rPr>
      </w:pPr>
      <w:r w:rsidRPr="00B43750">
        <w:rPr>
          <w:szCs w:val="24"/>
        </w:rPr>
        <w:t>Active untreated tuberculosis</w:t>
      </w:r>
    </w:p>
    <w:p w:rsidR="00A75387" w:rsidRPr="00B43750" w:rsidRDefault="00A75387" w:rsidP="00A75387">
      <w:pPr>
        <w:numPr>
          <w:ilvl w:val="0"/>
          <w:numId w:val="1"/>
        </w:numPr>
        <w:autoSpaceDE w:val="0"/>
        <w:autoSpaceDN w:val="0"/>
        <w:adjustRightInd w:val="0"/>
        <w:rPr>
          <w:b/>
          <w:szCs w:val="24"/>
          <w:u w:val="single"/>
        </w:rPr>
      </w:pPr>
      <w:r w:rsidRPr="00B43750">
        <w:rPr>
          <w:szCs w:val="24"/>
        </w:rPr>
        <w:t>Women who are pregnant</w:t>
      </w:r>
    </w:p>
    <w:p w:rsidR="00A75387" w:rsidRPr="00B43750" w:rsidRDefault="00A75387" w:rsidP="00A75387">
      <w:pPr>
        <w:numPr>
          <w:ilvl w:val="0"/>
          <w:numId w:val="1"/>
        </w:numPr>
        <w:autoSpaceDE w:val="0"/>
        <w:autoSpaceDN w:val="0"/>
        <w:adjustRightInd w:val="0"/>
        <w:rPr>
          <w:b/>
          <w:szCs w:val="24"/>
          <w:u w:val="single"/>
        </w:rPr>
      </w:pPr>
      <w:r w:rsidRPr="00B43750">
        <w:rPr>
          <w:szCs w:val="24"/>
        </w:rPr>
        <w:t>An active febrile illness with fever greater than 101.3°F.</w:t>
      </w:r>
    </w:p>
    <w:p w:rsidR="00A75387" w:rsidRPr="00B43750" w:rsidRDefault="00A75387" w:rsidP="00A75387">
      <w:pPr>
        <w:numPr>
          <w:ilvl w:val="0"/>
          <w:numId w:val="1"/>
        </w:numPr>
        <w:autoSpaceDE w:val="0"/>
        <w:autoSpaceDN w:val="0"/>
        <w:adjustRightInd w:val="0"/>
        <w:rPr>
          <w:b/>
          <w:szCs w:val="24"/>
          <w:u w:val="single"/>
        </w:rPr>
      </w:pPr>
      <w:r w:rsidRPr="00B43750">
        <w:rPr>
          <w:szCs w:val="24"/>
        </w:rPr>
        <w:t>Immunosuppressive therapy including high-dose systemic corticosteroids.</w:t>
      </w:r>
    </w:p>
    <w:p w:rsidR="00A75387" w:rsidRPr="00B43750" w:rsidRDefault="00A75387" w:rsidP="00A75387">
      <w:pPr>
        <w:numPr>
          <w:ilvl w:val="0"/>
          <w:numId w:val="1"/>
        </w:numPr>
        <w:autoSpaceDE w:val="0"/>
        <w:autoSpaceDN w:val="0"/>
        <w:adjustRightInd w:val="0"/>
        <w:rPr>
          <w:b/>
          <w:szCs w:val="24"/>
          <w:u w:val="single"/>
        </w:rPr>
      </w:pPr>
      <w:r w:rsidRPr="00B43750">
        <w:rPr>
          <w:szCs w:val="24"/>
        </w:rPr>
        <w:t>See package insert WARNING about administering MMR to individuals with a history of anaphylactic or other immediate hypersensitivity reactions (e.g., hives, swelling of the mouth and throat, difficulty breathing, hypotension, or shock) after egg ingestion.</w:t>
      </w:r>
    </w:p>
    <w:p w:rsidR="00A75387" w:rsidRPr="00B43750" w:rsidRDefault="00A75387" w:rsidP="00A75387">
      <w:pPr>
        <w:rPr>
          <w:b/>
          <w:szCs w:val="24"/>
          <w:u w:val="single"/>
        </w:rPr>
      </w:pPr>
    </w:p>
    <w:p w:rsidR="00A75387" w:rsidRDefault="00A75387" w:rsidP="00A75387">
      <w:pPr>
        <w:autoSpaceDE w:val="0"/>
        <w:autoSpaceDN w:val="0"/>
        <w:adjustRightInd w:val="0"/>
        <w:spacing w:after="60"/>
        <w:rPr>
          <w:szCs w:val="24"/>
        </w:rPr>
      </w:pPr>
      <w:r w:rsidRPr="00B43750">
        <w:rPr>
          <w:b/>
          <w:szCs w:val="24"/>
          <w:u w:val="single"/>
        </w:rPr>
        <w:t xml:space="preserve">Adverse Events </w:t>
      </w:r>
    </w:p>
    <w:p w:rsidR="00A75387" w:rsidRPr="00704885" w:rsidRDefault="00A75387" w:rsidP="00A75387">
      <w:pPr>
        <w:pStyle w:val="ListParagraph"/>
        <w:numPr>
          <w:ilvl w:val="0"/>
          <w:numId w:val="2"/>
        </w:numPr>
        <w:autoSpaceDE w:val="0"/>
        <w:autoSpaceDN w:val="0"/>
        <w:adjustRightInd w:val="0"/>
        <w:rPr>
          <w:szCs w:val="24"/>
        </w:rPr>
      </w:pPr>
      <w:r w:rsidRPr="00704885">
        <w:rPr>
          <w:szCs w:val="24"/>
        </w:rPr>
        <w:t>See the product’s package insert</w:t>
      </w:r>
    </w:p>
    <w:p w:rsidR="00A75387" w:rsidRPr="00F57DE8" w:rsidRDefault="00A75387" w:rsidP="00A75387">
      <w:pPr>
        <w:pStyle w:val="ListParagraph"/>
        <w:numPr>
          <w:ilvl w:val="0"/>
          <w:numId w:val="2"/>
        </w:numPr>
        <w:autoSpaceDE w:val="0"/>
        <w:autoSpaceDN w:val="0"/>
        <w:adjustRightInd w:val="0"/>
        <w:rPr>
          <w:szCs w:val="24"/>
        </w:rPr>
      </w:pPr>
      <w:r w:rsidRPr="00F57DE8">
        <w:rPr>
          <w:szCs w:val="24"/>
        </w:rPr>
        <w:t>See Adverse Events Following Vaccinations page of this section</w:t>
      </w:r>
    </w:p>
    <w:p w:rsidR="00A75387" w:rsidRPr="00B43750" w:rsidRDefault="00A75387" w:rsidP="00A75387">
      <w:pPr>
        <w:autoSpaceDE w:val="0"/>
        <w:autoSpaceDN w:val="0"/>
        <w:adjustRightInd w:val="0"/>
        <w:rPr>
          <w:szCs w:val="24"/>
          <w:u w:val="single"/>
        </w:rPr>
      </w:pPr>
    </w:p>
    <w:p w:rsidR="00A75387" w:rsidRPr="00B43750" w:rsidRDefault="00A75387" w:rsidP="00A75387">
      <w:pPr>
        <w:autoSpaceDE w:val="0"/>
        <w:autoSpaceDN w:val="0"/>
        <w:adjustRightInd w:val="0"/>
        <w:spacing w:after="60"/>
        <w:rPr>
          <w:b/>
          <w:szCs w:val="24"/>
          <w:u w:val="single"/>
        </w:rPr>
      </w:pPr>
      <w:r w:rsidRPr="00B43750">
        <w:rPr>
          <w:b/>
          <w:szCs w:val="24"/>
          <w:u w:val="single"/>
        </w:rPr>
        <w:t>Storage and Handling</w:t>
      </w:r>
    </w:p>
    <w:p w:rsidR="00A75387" w:rsidRPr="00B43750" w:rsidRDefault="00A75387" w:rsidP="00A75387">
      <w:pPr>
        <w:numPr>
          <w:ilvl w:val="0"/>
          <w:numId w:val="4"/>
        </w:numPr>
        <w:autoSpaceDE w:val="0"/>
        <w:autoSpaceDN w:val="0"/>
        <w:adjustRightInd w:val="0"/>
        <w:rPr>
          <w:bCs/>
          <w:szCs w:val="24"/>
        </w:rPr>
      </w:pPr>
      <w:r w:rsidRPr="00B43750">
        <w:rPr>
          <w:bCs/>
          <w:szCs w:val="24"/>
        </w:rPr>
        <w:t xml:space="preserve">MMR vaccine may be stored in the refrigerator or freezer, (It </w:t>
      </w:r>
      <w:proofErr w:type="gramStart"/>
      <w:r w:rsidRPr="00B43750">
        <w:rPr>
          <w:bCs/>
          <w:szCs w:val="24"/>
        </w:rPr>
        <w:t>is recommended</w:t>
      </w:r>
      <w:proofErr w:type="gramEnd"/>
      <w:r w:rsidRPr="00B43750">
        <w:rPr>
          <w:bCs/>
          <w:szCs w:val="24"/>
        </w:rPr>
        <w:t xml:space="preserve"> to keep MMR vaccine in the freezer to prevent confusion with MMRV vaccine).</w:t>
      </w:r>
    </w:p>
    <w:p w:rsidR="00A75387" w:rsidRPr="00B43750" w:rsidRDefault="00A75387" w:rsidP="00A75387">
      <w:pPr>
        <w:numPr>
          <w:ilvl w:val="0"/>
          <w:numId w:val="4"/>
        </w:numPr>
        <w:autoSpaceDE w:val="0"/>
        <w:autoSpaceDN w:val="0"/>
        <w:adjustRightInd w:val="0"/>
        <w:rPr>
          <w:bCs/>
          <w:szCs w:val="24"/>
        </w:rPr>
      </w:pPr>
      <w:r w:rsidRPr="00B43750">
        <w:rPr>
          <w:bCs/>
          <w:szCs w:val="24"/>
        </w:rPr>
        <w:t xml:space="preserve">MMR vaccine </w:t>
      </w:r>
      <w:proofErr w:type="gramStart"/>
      <w:r w:rsidRPr="00B43750">
        <w:rPr>
          <w:bCs/>
          <w:szCs w:val="24"/>
        </w:rPr>
        <w:t>can be refrigerated</w:t>
      </w:r>
      <w:proofErr w:type="gramEnd"/>
      <w:r w:rsidRPr="00B43750">
        <w:rPr>
          <w:bCs/>
          <w:szCs w:val="24"/>
        </w:rPr>
        <w:t xml:space="preserve"> for up to 8 hours after reconstitution and must be protected from light.</w:t>
      </w:r>
      <w:r w:rsidRPr="00B43750">
        <w:rPr>
          <w:szCs w:val="24"/>
        </w:rPr>
        <w:t xml:space="preserve"> </w:t>
      </w:r>
    </w:p>
    <w:p w:rsidR="00A75387" w:rsidRPr="00B43750" w:rsidRDefault="00A75387" w:rsidP="00A75387">
      <w:pPr>
        <w:autoSpaceDE w:val="0"/>
        <w:autoSpaceDN w:val="0"/>
        <w:adjustRightInd w:val="0"/>
        <w:rPr>
          <w:szCs w:val="24"/>
        </w:rPr>
      </w:pPr>
    </w:p>
    <w:p w:rsidR="00A75387" w:rsidRPr="00B43750" w:rsidRDefault="00A75387" w:rsidP="00A75387">
      <w:pPr>
        <w:autoSpaceDE w:val="0"/>
        <w:autoSpaceDN w:val="0"/>
        <w:adjustRightInd w:val="0"/>
        <w:spacing w:after="60"/>
        <w:rPr>
          <w:b/>
          <w:szCs w:val="24"/>
          <w:u w:val="single"/>
        </w:rPr>
      </w:pPr>
      <w:r w:rsidRPr="00B43750">
        <w:rPr>
          <w:b/>
          <w:szCs w:val="24"/>
          <w:u w:val="single"/>
        </w:rPr>
        <w:t>Other Important Notes</w:t>
      </w:r>
    </w:p>
    <w:p w:rsidR="00A75387" w:rsidRPr="00B43750" w:rsidRDefault="00A75387" w:rsidP="00A75387">
      <w:pPr>
        <w:numPr>
          <w:ilvl w:val="0"/>
          <w:numId w:val="4"/>
        </w:numPr>
        <w:autoSpaceDE w:val="0"/>
        <w:autoSpaceDN w:val="0"/>
        <w:adjustRightInd w:val="0"/>
        <w:rPr>
          <w:bCs/>
          <w:szCs w:val="24"/>
        </w:rPr>
      </w:pPr>
      <w:r w:rsidRPr="00B43750">
        <w:rPr>
          <w:bCs/>
          <w:szCs w:val="24"/>
        </w:rPr>
        <w:t>Breastfeeding is not a contraindication to receiving the vaccine.</w:t>
      </w:r>
    </w:p>
    <w:p w:rsidR="00A75387" w:rsidRDefault="00A75387" w:rsidP="00A75387">
      <w:pPr>
        <w:rPr>
          <w:b/>
        </w:rPr>
      </w:pPr>
    </w:p>
    <w:p w:rsidR="00A75387" w:rsidRPr="00A739B6" w:rsidRDefault="00A75387" w:rsidP="00A75387">
      <w:pPr>
        <w:keepNext/>
        <w:keepLines/>
        <w:rPr>
          <w:b/>
        </w:rPr>
      </w:pPr>
      <w:r w:rsidRPr="00A739B6">
        <w:rPr>
          <w:b/>
        </w:rPr>
        <w:t>Tuberculin Testing and Live Vaccines</w:t>
      </w:r>
    </w:p>
    <w:p w:rsidR="00A75387" w:rsidRPr="00A739B6" w:rsidRDefault="00A75387" w:rsidP="00A75387">
      <w:pPr>
        <w:keepNext/>
        <w:keepLines/>
      </w:pPr>
      <w:r w:rsidRPr="00A739B6">
        <w:t xml:space="preserve">Recommendations for use of the tuberculin skin test are independent of those for immunization.  Tuberculin testing at any age is not required before administration of live-virus vaccines.  A tuberculin skin test (TST) </w:t>
      </w:r>
      <w:proofErr w:type="gramStart"/>
      <w:r w:rsidRPr="00A739B6">
        <w:t>can be applied</w:t>
      </w:r>
      <w:proofErr w:type="gramEnd"/>
      <w:r w:rsidRPr="00A739B6">
        <w:t xml:space="preserve"> at the same visit during which these vaccines are administered.  Measles vaccine temporarily can suppress tuberculin reactivity for at least 4</w:t>
      </w:r>
      <w:r>
        <w:t> </w:t>
      </w:r>
      <w:r w:rsidRPr="00A739B6">
        <w:t>to</w:t>
      </w:r>
      <w:r>
        <w:t> </w:t>
      </w:r>
      <w:r w:rsidRPr="00A739B6">
        <w:t>6</w:t>
      </w:r>
      <w:r>
        <w:t> </w:t>
      </w:r>
      <w:r w:rsidRPr="00A739B6">
        <w:t xml:space="preserve">weeks.  The effect of live-virus varicella, yellow fever, and live-attenuated influenza vaccines on tuberculin skin test reactivity </w:t>
      </w:r>
      <w:proofErr w:type="gramStart"/>
      <w:r w:rsidRPr="00A739B6">
        <w:t>is not known</w:t>
      </w:r>
      <w:proofErr w:type="gramEnd"/>
      <w:r w:rsidRPr="00A739B6">
        <w:t xml:space="preserve">.  In the absence of data, the same TST spacing recommendation </w:t>
      </w:r>
      <w:proofErr w:type="gramStart"/>
      <w:r w:rsidRPr="00A739B6">
        <w:t>should be applied</w:t>
      </w:r>
      <w:proofErr w:type="gramEnd"/>
      <w:r w:rsidRPr="00A739B6">
        <w:t xml:space="preserve"> to these vaccines as described for MMR.  There is no evidence that inactivated vaccines, polysaccharide vaccines or recombinant or subunit vaccines or toxoids interfere with immune response to TST.</w:t>
      </w:r>
    </w:p>
    <w:p w:rsidR="00A75387" w:rsidRPr="002D3E3D" w:rsidRDefault="00A75387" w:rsidP="00A75387"/>
    <w:p w:rsidR="00A75387" w:rsidRDefault="00A75387" w:rsidP="00A75387">
      <w:pPr>
        <w:keepNext/>
        <w:keepLines/>
        <w:spacing w:after="120"/>
        <w:rPr>
          <w:rFonts w:cs="Arial"/>
          <w:b/>
        </w:rPr>
      </w:pPr>
    </w:p>
    <w:p w:rsidR="00A75387" w:rsidRDefault="00A75387" w:rsidP="00A75387">
      <w:pPr>
        <w:keepNext/>
        <w:keepLines/>
        <w:spacing w:after="120"/>
        <w:rPr>
          <w:rFonts w:cs="Arial"/>
          <w:b/>
        </w:rPr>
      </w:pPr>
    </w:p>
    <w:p w:rsidR="00A75387" w:rsidRDefault="00A75387" w:rsidP="00A75387">
      <w:pPr>
        <w:keepNext/>
        <w:keepLines/>
        <w:spacing w:after="120"/>
        <w:rPr>
          <w:rFonts w:cs="Arial"/>
          <w:b/>
        </w:rPr>
      </w:pPr>
    </w:p>
    <w:p w:rsidR="00A75387" w:rsidRPr="00A739B6" w:rsidRDefault="00A75387" w:rsidP="00A75387">
      <w:pPr>
        <w:keepNext/>
        <w:keepLines/>
        <w:spacing w:after="120"/>
        <w:rPr>
          <w:rFonts w:cs="Helvetica"/>
        </w:rPr>
      </w:pPr>
      <w:r w:rsidRPr="00A739B6">
        <w:rPr>
          <w:rFonts w:cs="Arial"/>
          <w:b/>
        </w:rPr>
        <w:t>Tuberculin Skin Testing (TST) and Measles, Mumps, Rubella Vaccine (MMR)</w:t>
      </w:r>
    </w:p>
    <w:p w:rsidR="00A75387" w:rsidRPr="00A739B6" w:rsidRDefault="00A75387" w:rsidP="00A75387">
      <w:pPr>
        <w:numPr>
          <w:ilvl w:val="0"/>
          <w:numId w:val="3"/>
        </w:numPr>
      </w:pPr>
      <w:r w:rsidRPr="00A739B6">
        <w:t>Apply TST at same visit as MMR (preferred strategy)</w:t>
      </w:r>
    </w:p>
    <w:p w:rsidR="00A75387" w:rsidRPr="00A739B6" w:rsidRDefault="00A75387" w:rsidP="00A75387">
      <w:pPr>
        <w:numPr>
          <w:ilvl w:val="0"/>
          <w:numId w:val="3"/>
        </w:numPr>
      </w:pPr>
      <w:r w:rsidRPr="00A739B6">
        <w:t>Apply TST first and administer MMR when TST is read (least favored option because receipt of MMR is delayed) (least preferred strategy)</w:t>
      </w:r>
    </w:p>
    <w:p w:rsidR="00A75387" w:rsidRPr="00A739B6" w:rsidRDefault="00A75387" w:rsidP="00A75387">
      <w:pPr>
        <w:numPr>
          <w:ilvl w:val="0"/>
          <w:numId w:val="3"/>
        </w:numPr>
      </w:pPr>
      <w:r w:rsidRPr="00A739B6">
        <w:t xml:space="preserve">Delay TST at least 4 weeks if MMR </w:t>
      </w:r>
      <w:proofErr w:type="gramStart"/>
      <w:r w:rsidRPr="00A739B6">
        <w:t>is given</w:t>
      </w:r>
      <w:proofErr w:type="gramEnd"/>
      <w:r w:rsidRPr="00A739B6">
        <w:t xml:space="preserve"> first.</w:t>
      </w:r>
    </w:p>
    <w:p w:rsidR="00A75387" w:rsidRPr="00B43750" w:rsidRDefault="00A75387" w:rsidP="00A75387">
      <w:pPr>
        <w:autoSpaceDE w:val="0"/>
        <w:autoSpaceDN w:val="0"/>
        <w:adjustRightInd w:val="0"/>
        <w:rPr>
          <w:bCs/>
          <w:szCs w:val="24"/>
        </w:rPr>
      </w:pPr>
    </w:p>
    <w:p w:rsidR="00A75387" w:rsidRPr="00B43750" w:rsidRDefault="00A75387" w:rsidP="00A75387">
      <w:pPr>
        <w:autoSpaceDE w:val="0"/>
        <w:autoSpaceDN w:val="0"/>
        <w:adjustRightInd w:val="0"/>
        <w:spacing w:after="60"/>
        <w:ind w:left="360"/>
        <w:rPr>
          <w:sz w:val="20"/>
          <w:vertAlign w:val="superscript"/>
        </w:rPr>
      </w:pPr>
      <w:r w:rsidRPr="00B43750">
        <w:rPr>
          <w:sz w:val="20"/>
          <w:vertAlign w:val="superscript"/>
        </w:rPr>
        <w:t>1</w:t>
      </w:r>
      <w:r w:rsidRPr="00B43750">
        <w:rPr>
          <w:sz w:val="20"/>
        </w:rPr>
        <w:t xml:space="preserve">October 2001, the ACIP shortened its recommended period to avoid pregnancy after receipt of rubella-containing vaccine from 3 months to 28 days, </w:t>
      </w:r>
      <w:hyperlink r:id="rId7" w:history="1">
        <w:r w:rsidRPr="00B43750">
          <w:rPr>
            <w:color w:val="0000FF"/>
            <w:sz w:val="20"/>
            <w:u w:val="single"/>
          </w:rPr>
          <w:t>http://www.cdc.gov/mmwr/preview/mmwrhtml/mm5049a5.htm</w:t>
        </w:r>
      </w:hyperlink>
      <w:r w:rsidRPr="00B43750">
        <w:rPr>
          <w:sz w:val="20"/>
        </w:rPr>
        <w:t>.  Vaccine Information Statements (VISs) for MMR vaccine, last revised in 20</w:t>
      </w:r>
      <w:r>
        <w:rPr>
          <w:sz w:val="20"/>
        </w:rPr>
        <w:t>1</w:t>
      </w:r>
      <w:r w:rsidRPr="00B43750">
        <w:rPr>
          <w:sz w:val="20"/>
        </w:rPr>
        <w:t xml:space="preserve">8, include a precaution that “Women should avoid getting pregnant for </w:t>
      </w:r>
      <w:r>
        <w:rPr>
          <w:sz w:val="20"/>
        </w:rPr>
        <w:t>at least 1 month</w:t>
      </w:r>
      <w:r w:rsidRPr="00B43750">
        <w:rPr>
          <w:sz w:val="20"/>
        </w:rPr>
        <w:t xml:space="preserve"> after getting MMR vaccine.”  Note that both the ACIP recommendations and the text of the MMR VIS differ from the package insert precautions to avoid pregnancy for three months after vaccination.</w:t>
      </w:r>
      <w:r w:rsidRPr="00B43750">
        <w:rPr>
          <w:sz w:val="20"/>
          <w:vertAlign w:val="superscript"/>
        </w:rPr>
        <w:t xml:space="preserve">  </w:t>
      </w:r>
    </w:p>
    <w:p w:rsidR="00A75387" w:rsidRDefault="00A75387" w:rsidP="00A75387">
      <w:pPr>
        <w:autoSpaceDE w:val="0"/>
        <w:autoSpaceDN w:val="0"/>
        <w:adjustRightInd w:val="0"/>
        <w:spacing w:before="120"/>
      </w:pPr>
    </w:p>
    <w:p w:rsidR="00A75387" w:rsidRPr="007F1460" w:rsidRDefault="00A75387" w:rsidP="00A75387">
      <w:pPr>
        <w:autoSpaceDE w:val="0"/>
        <w:autoSpaceDN w:val="0"/>
        <w:adjustRightInd w:val="0"/>
        <w:spacing w:before="120"/>
        <w:rPr>
          <w:b/>
        </w:rPr>
      </w:pPr>
      <w:r w:rsidRPr="007F1460">
        <w:rPr>
          <w:b/>
        </w:rPr>
        <w:t>Resources</w:t>
      </w:r>
    </w:p>
    <w:p w:rsidR="00A75387" w:rsidRDefault="00A75387" w:rsidP="00A75387">
      <w:pPr>
        <w:autoSpaceDE w:val="0"/>
        <w:autoSpaceDN w:val="0"/>
        <w:adjustRightInd w:val="0"/>
        <w:spacing w:before="120"/>
      </w:pPr>
    </w:p>
    <w:p w:rsidR="00A75387" w:rsidRDefault="00A75387" w:rsidP="00A75387">
      <w:pPr>
        <w:autoSpaceDE w:val="0"/>
        <w:autoSpaceDN w:val="0"/>
        <w:adjustRightInd w:val="0"/>
        <w:rPr>
          <w:szCs w:val="24"/>
        </w:rPr>
      </w:pPr>
      <w:r>
        <w:rPr>
          <w:szCs w:val="24"/>
        </w:rPr>
        <w:t xml:space="preserve">Marin M, Marlow M, Moore K, Patel M.  </w:t>
      </w:r>
      <w:r w:rsidRPr="00B92C20">
        <w:rPr>
          <w:szCs w:val="24"/>
        </w:rPr>
        <w:t xml:space="preserve">Recommendation of the Advisory Committee on Immunization Practices for Use of a Third Dose of Mumps Virus–Containing Vaccine in Persons at Increased Risk for Mumps During an Outbreak. </w:t>
      </w:r>
      <w:r>
        <w:rPr>
          <w:szCs w:val="24"/>
        </w:rPr>
        <w:t xml:space="preserve"> </w:t>
      </w:r>
      <w:r w:rsidRPr="00B92C20">
        <w:rPr>
          <w:szCs w:val="24"/>
        </w:rPr>
        <w:t xml:space="preserve">MMWR </w:t>
      </w:r>
      <w:proofErr w:type="spellStart"/>
      <w:r w:rsidRPr="00B92C20">
        <w:rPr>
          <w:szCs w:val="24"/>
        </w:rPr>
        <w:t>Morb</w:t>
      </w:r>
      <w:proofErr w:type="spellEnd"/>
      <w:r w:rsidRPr="00B92C20">
        <w:rPr>
          <w:szCs w:val="24"/>
        </w:rPr>
        <w:t xml:space="preserve"> Mortal </w:t>
      </w:r>
      <w:proofErr w:type="spellStart"/>
      <w:r w:rsidRPr="00B92C20">
        <w:rPr>
          <w:szCs w:val="24"/>
        </w:rPr>
        <w:t>Wkly</w:t>
      </w:r>
      <w:proofErr w:type="spellEnd"/>
      <w:r w:rsidRPr="00B92C20">
        <w:rPr>
          <w:szCs w:val="24"/>
        </w:rPr>
        <w:t xml:space="preserve"> Rep 2018</w:t>
      </w:r>
      <w:proofErr w:type="gramStart"/>
      <w:r w:rsidRPr="00B92C20">
        <w:rPr>
          <w:szCs w:val="24"/>
        </w:rPr>
        <w:t>;67:33</w:t>
      </w:r>
      <w:proofErr w:type="gramEnd"/>
      <w:r w:rsidRPr="00B92C20">
        <w:rPr>
          <w:szCs w:val="24"/>
        </w:rPr>
        <w:t>–38</w:t>
      </w:r>
      <w:r>
        <w:rPr>
          <w:szCs w:val="24"/>
        </w:rPr>
        <w:t xml:space="preserve">, </w:t>
      </w:r>
      <w:hyperlink r:id="rId8" w:history="1">
        <w:r w:rsidRPr="00D25E04">
          <w:rPr>
            <w:rStyle w:val="Hyperlink"/>
            <w:szCs w:val="24"/>
          </w:rPr>
          <w:t>https://cdc.gov/mmwr/volumes/67/wr/mm6701a7.htm</w:t>
        </w:r>
      </w:hyperlink>
    </w:p>
    <w:p w:rsidR="00A75387" w:rsidRDefault="00A75387" w:rsidP="00A75387">
      <w:pPr>
        <w:autoSpaceDE w:val="0"/>
        <w:autoSpaceDN w:val="0"/>
        <w:adjustRightInd w:val="0"/>
        <w:rPr>
          <w:szCs w:val="24"/>
        </w:rPr>
      </w:pPr>
    </w:p>
    <w:p w:rsidR="00A75387" w:rsidRDefault="00A75387" w:rsidP="00A75387">
      <w:pPr>
        <w:autoSpaceDE w:val="0"/>
        <w:autoSpaceDN w:val="0"/>
        <w:adjustRightInd w:val="0"/>
        <w:rPr>
          <w:szCs w:val="24"/>
        </w:rPr>
      </w:pPr>
      <w:r>
        <w:rPr>
          <w:szCs w:val="24"/>
        </w:rPr>
        <w:t>Advisory Committee on Immunization Practices (ACIP) Resolution No. 10/17-3: Vaccines to Prevent Measles, Mumps, Rubella, and Varicella,</w:t>
      </w:r>
    </w:p>
    <w:p w:rsidR="00A75387" w:rsidRDefault="00C4078F" w:rsidP="00A75387">
      <w:pPr>
        <w:autoSpaceDE w:val="0"/>
        <w:autoSpaceDN w:val="0"/>
        <w:adjustRightInd w:val="0"/>
        <w:rPr>
          <w:szCs w:val="24"/>
        </w:rPr>
      </w:pPr>
      <w:hyperlink r:id="rId9" w:history="1">
        <w:r w:rsidR="00A75387" w:rsidRPr="001730B8">
          <w:rPr>
            <w:rStyle w:val="Hyperlink"/>
            <w:szCs w:val="24"/>
          </w:rPr>
          <w:t>www.cdc.gov/vaccines/programs/vfc/providers/resolutions.html</w:t>
        </w:r>
      </w:hyperlink>
      <w:r w:rsidR="00A75387">
        <w:rPr>
          <w:szCs w:val="24"/>
        </w:rPr>
        <w:t>.</w:t>
      </w:r>
    </w:p>
    <w:p w:rsidR="00A75387" w:rsidRDefault="00A75387" w:rsidP="00A75387">
      <w:pPr>
        <w:autoSpaceDE w:val="0"/>
        <w:autoSpaceDN w:val="0"/>
        <w:adjustRightInd w:val="0"/>
        <w:rPr>
          <w:szCs w:val="24"/>
        </w:rPr>
      </w:pPr>
    </w:p>
    <w:p w:rsidR="00A75387" w:rsidRPr="009B4A8F" w:rsidRDefault="00A75387" w:rsidP="00A75387">
      <w:pPr>
        <w:autoSpaceDE w:val="0"/>
        <w:autoSpaceDN w:val="0"/>
        <w:adjustRightInd w:val="0"/>
        <w:rPr>
          <w:szCs w:val="24"/>
        </w:rPr>
      </w:pPr>
      <w:r>
        <w:rPr>
          <w:szCs w:val="24"/>
        </w:rPr>
        <w:t xml:space="preserve">Vaccine Information Statement.  MMR (Measles, Mumps, and Rubella) Vaccine:  </w:t>
      </w:r>
      <w:r w:rsidRPr="00111FED">
        <w:rPr>
          <w:i/>
          <w:szCs w:val="24"/>
        </w:rPr>
        <w:t>What You Need to Know.</w:t>
      </w:r>
      <w:r>
        <w:rPr>
          <w:i/>
          <w:szCs w:val="24"/>
        </w:rPr>
        <w:t xml:space="preserve"> </w:t>
      </w:r>
      <w:r>
        <w:rPr>
          <w:szCs w:val="24"/>
        </w:rPr>
        <w:t xml:space="preserve"> Centers for Disease Control and Prevention.  Last revised 2/12/2018, </w:t>
      </w:r>
      <w:r>
        <w:rPr>
          <w:szCs w:val="24"/>
        </w:rPr>
        <w:br/>
      </w:r>
      <w:hyperlink r:id="rId10" w:history="1">
        <w:r w:rsidRPr="001730B8">
          <w:rPr>
            <w:rStyle w:val="Hyperlink"/>
            <w:szCs w:val="24"/>
          </w:rPr>
          <w:t>https://www.cdc.gov/vaccines/hcp/vis/vis-statements/mmr.pdf</w:t>
        </w:r>
      </w:hyperlink>
      <w:r>
        <w:rPr>
          <w:szCs w:val="24"/>
        </w:rPr>
        <w:t>.</w:t>
      </w:r>
    </w:p>
    <w:p w:rsidR="00A75387" w:rsidRDefault="00A75387" w:rsidP="00A75387">
      <w:pPr>
        <w:autoSpaceDE w:val="0"/>
        <w:autoSpaceDN w:val="0"/>
        <w:adjustRightInd w:val="0"/>
        <w:spacing w:before="120"/>
      </w:pPr>
    </w:p>
    <w:p w:rsidR="00A75387" w:rsidRDefault="00A75387" w:rsidP="00A75387">
      <w:pPr>
        <w:autoSpaceDE w:val="0"/>
        <w:autoSpaceDN w:val="0"/>
        <w:adjustRightInd w:val="0"/>
        <w:spacing w:before="120"/>
      </w:pPr>
      <w:r>
        <w:t xml:space="preserve">Recommended Immunization Schedule for Children and Adolescents Aged 18 Years or Younger, U.S., 2018, </w:t>
      </w:r>
      <w:hyperlink r:id="rId11" w:history="1">
        <w:r w:rsidRPr="005927DB">
          <w:rPr>
            <w:rStyle w:val="Hyperlink"/>
          </w:rPr>
          <w:t>https://www.cdc.gov/vaccines/schedules/hcp/child-adolescent.html</w:t>
        </w:r>
      </w:hyperlink>
      <w:r>
        <w:t xml:space="preserve">  </w:t>
      </w:r>
    </w:p>
    <w:p w:rsidR="00A75387" w:rsidRDefault="00A75387" w:rsidP="00A75387">
      <w:pPr>
        <w:autoSpaceDE w:val="0"/>
        <w:autoSpaceDN w:val="0"/>
        <w:adjustRightInd w:val="0"/>
        <w:spacing w:before="120"/>
      </w:pPr>
    </w:p>
    <w:p w:rsidR="00A75387" w:rsidRDefault="00A75387" w:rsidP="00A75387">
      <w:pPr>
        <w:autoSpaceDE w:val="0"/>
        <w:autoSpaceDN w:val="0"/>
        <w:adjustRightInd w:val="0"/>
        <w:spacing w:before="120"/>
      </w:pPr>
    </w:p>
    <w:p w:rsidR="00F25F63" w:rsidRDefault="00A75387" w:rsidP="00A75387">
      <w:r>
        <w:t>Last updated August 1, 2012 and July 1, 2018</w:t>
      </w:r>
    </w:p>
    <w:sectPr w:rsidR="00F25F6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8F" w:rsidRDefault="00C4078F" w:rsidP="00A75387">
      <w:r>
        <w:separator/>
      </w:r>
    </w:p>
  </w:endnote>
  <w:endnote w:type="continuationSeparator" w:id="0">
    <w:p w:rsidR="00C4078F" w:rsidRDefault="00C4078F" w:rsidP="00A7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87" w:rsidRDefault="00A75387">
    <w:pPr>
      <w:pStyle w:val="Footer"/>
      <w:jc w:val="center"/>
      <w:rPr>
        <w:color w:val="auto"/>
        <w:sz w:val="16"/>
        <w:szCs w:val="16"/>
      </w:rPr>
    </w:pPr>
    <w:r w:rsidRPr="00A75387">
      <w:rPr>
        <w:color w:val="auto"/>
        <w:sz w:val="16"/>
        <w:szCs w:val="16"/>
      </w:rPr>
      <w:t xml:space="preserve">Page </w:t>
    </w:r>
    <w:r w:rsidRPr="00A75387">
      <w:rPr>
        <w:color w:val="auto"/>
        <w:sz w:val="16"/>
        <w:szCs w:val="16"/>
      </w:rPr>
      <w:fldChar w:fldCharType="begin"/>
    </w:r>
    <w:r w:rsidRPr="00A75387">
      <w:rPr>
        <w:color w:val="auto"/>
        <w:sz w:val="16"/>
        <w:szCs w:val="16"/>
      </w:rPr>
      <w:instrText xml:space="preserve"> PAGE  \* Arabic  \* MERGEFORMAT </w:instrText>
    </w:r>
    <w:r w:rsidRPr="00A75387">
      <w:rPr>
        <w:color w:val="auto"/>
        <w:sz w:val="16"/>
        <w:szCs w:val="16"/>
      </w:rPr>
      <w:fldChar w:fldCharType="separate"/>
    </w:r>
    <w:r w:rsidR="006F75E5">
      <w:rPr>
        <w:noProof/>
        <w:color w:val="auto"/>
        <w:sz w:val="16"/>
        <w:szCs w:val="16"/>
      </w:rPr>
      <w:t>3</w:t>
    </w:r>
    <w:r w:rsidRPr="00A75387">
      <w:rPr>
        <w:color w:val="auto"/>
        <w:sz w:val="16"/>
        <w:szCs w:val="16"/>
      </w:rPr>
      <w:fldChar w:fldCharType="end"/>
    </w:r>
    <w:r w:rsidRPr="00A75387">
      <w:rPr>
        <w:color w:val="auto"/>
        <w:sz w:val="16"/>
        <w:szCs w:val="16"/>
      </w:rPr>
      <w:t xml:space="preserve"> of </w:t>
    </w:r>
    <w:r w:rsidRPr="00A75387">
      <w:rPr>
        <w:color w:val="auto"/>
        <w:sz w:val="16"/>
        <w:szCs w:val="16"/>
      </w:rPr>
      <w:fldChar w:fldCharType="begin"/>
    </w:r>
    <w:r w:rsidRPr="00A75387">
      <w:rPr>
        <w:color w:val="auto"/>
        <w:sz w:val="16"/>
        <w:szCs w:val="16"/>
      </w:rPr>
      <w:instrText xml:space="preserve"> NUMPAGES  \* Arabic  \* MERGEFORMAT </w:instrText>
    </w:r>
    <w:r w:rsidRPr="00A75387">
      <w:rPr>
        <w:color w:val="auto"/>
        <w:sz w:val="16"/>
        <w:szCs w:val="16"/>
      </w:rPr>
      <w:fldChar w:fldCharType="separate"/>
    </w:r>
    <w:r w:rsidR="006F75E5">
      <w:rPr>
        <w:noProof/>
        <w:color w:val="auto"/>
        <w:sz w:val="16"/>
        <w:szCs w:val="16"/>
      </w:rPr>
      <w:t>3</w:t>
    </w:r>
    <w:r w:rsidRPr="00A75387">
      <w:rPr>
        <w:color w:val="auto"/>
        <w:sz w:val="16"/>
        <w:szCs w:val="16"/>
      </w:rPr>
      <w:fldChar w:fldCharType="end"/>
    </w:r>
  </w:p>
  <w:p w:rsidR="00A75387" w:rsidRDefault="00A75387">
    <w:pPr>
      <w:pStyle w:val="Footer"/>
      <w:jc w:val="center"/>
      <w:rPr>
        <w:color w:val="auto"/>
        <w:sz w:val="16"/>
        <w:szCs w:val="16"/>
      </w:rPr>
    </w:pPr>
    <w:r>
      <w:rPr>
        <w:color w:val="auto"/>
        <w:sz w:val="16"/>
        <w:szCs w:val="16"/>
      </w:rPr>
      <w:t>Core Clinical Service Guide</w:t>
    </w:r>
  </w:p>
  <w:p w:rsidR="00A75387" w:rsidRDefault="006F75E5">
    <w:pPr>
      <w:pStyle w:val="Footer"/>
      <w:jc w:val="center"/>
      <w:rPr>
        <w:color w:val="auto"/>
        <w:sz w:val="16"/>
        <w:szCs w:val="16"/>
      </w:rPr>
    </w:pPr>
    <w:r>
      <w:rPr>
        <w:color w:val="auto"/>
        <w:sz w:val="16"/>
        <w:szCs w:val="16"/>
      </w:rPr>
      <w:t>Section:  Immunizations – (R</w:t>
    </w:r>
    <w:r w:rsidR="00A75387">
      <w:rPr>
        <w:color w:val="auto"/>
        <w:sz w:val="16"/>
        <w:szCs w:val="16"/>
      </w:rPr>
      <w:t>) – M</w:t>
    </w:r>
    <w:r w:rsidR="0057003C">
      <w:rPr>
        <w:color w:val="auto"/>
        <w:sz w:val="16"/>
        <w:szCs w:val="16"/>
      </w:rPr>
      <w:t>easles, Mumps, Rubella (MMR) Vaccine</w:t>
    </w:r>
    <w:r w:rsidR="00B376AB">
      <w:rPr>
        <w:color w:val="auto"/>
        <w:sz w:val="16"/>
        <w:szCs w:val="16"/>
      </w:rPr>
      <w:t>, Child</w:t>
    </w:r>
  </w:p>
  <w:p w:rsidR="00A75387" w:rsidRPr="00A75387" w:rsidRDefault="00A75387">
    <w:pPr>
      <w:pStyle w:val="Footer"/>
      <w:jc w:val="center"/>
      <w:rPr>
        <w:color w:val="auto"/>
        <w:sz w:val="16"/>
        <w:szCs w:val="16"/>
      </w:rPr>
    </w:pPr>
    <w:r>
      <w:rPr>
        <w:color w:val="auto"/>
        <w:sz w:val="16"/>
        <w:szCs w:val="16"/>
      </w:rPr>
      <w:t>July 1, 2018</w:t>
    </w:r>
  </w:p>
  <w:p w:rsidR="00A75387" w:rsidRDefault="00A7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8F" w:rsidRDefault="00C4078F" w:rsidP="00A75387">
      <w:r>
        <w:separator/>
      </w:r>
    </w:p>
  </w:footnote>
  <w:footnote w:type="continuationSeparator" w:id="0">
    <w:p w:rsidR="00C4078F" w:rsidRDefault="00C4078F" w:rsidP="00A75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5A1A"/>
    <w:multiLevelType w:val="hybridMultilevel"/>
    <w:tmpl w:val="7250F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07D0D"/>
    <w:multiLevelType w:val="hybridMultilevel"/>
    <w:tmpl w:val="9FACF9E2"/>
    <w:lvl w:ilvl="0" w:tplc="0BAE878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91796"/>
    <w:multiLevelType w:val="hybridMultilevel"/>
    <w:tmpl w:val="F89625DE"/>
    <w:lvl w:ilvl="0" w:tplc="057CA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F2B7D"/>
    <w:multiLevelType w:val="hybridMultilevel"/>
    <w:tmpl w:val="0A1A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02"/>
    <w:rsid w:val="00173202"/>
    <w:rsid w:val="001C21BB"/>
    <w:rsid w:val="0057003C"/>
    <w:rsid w:val="006F75E5"/>
    <w:rsid w:val="00A75387"/>
    <w:rsid w:val="00B376AB"/>
    <w:rsid w:val="00C4078F"/>
    <w:rsid w:val="00E46638"/>
    <w:rsid w:val="00F25F63"/>
    <w:rsid w:val="00FA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F963"/>
  <w15:chartTrackingRefBased/>
  <w15:docId w15:val="{9DC7B5C2-E2EA-41A1-AEBC-7A9F0912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87"/>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87"/>
    <w:pPr>
      <w:ind w:left="720"/>
      <w:contextualSpacing/>
    </w:pPr>
  </w:style>
  <w:style w:type="character" w:styleId="Hyperlink">
    <w:name w:val="Hyperlink"/>
    <w:basedOn w:val="DefaultParagraphFont"/>
    <w:uiPriority w:val="99"/>
    <w:unhideWhenUsed/>
    <w:rsid w:val="00A75387"/>
    <w:rPr>
      <w:color w:val="0563C1" w:themeColor="hyperlink"/>
      <w:u w:val="single"/>
    </w:rPr>
  </w:style>
  <w:style w:type="paragraph" w:styleId="Header">
    <w:name w:val="header"/>
    <w:basedOn w:val="Normal"/>
    <w:link w:val="HeaderChar"/>
    <w:uiPriority w:val="99"/>
    <w:unhideWhenUsed/>
    <w:rsid w:val="00A75387"/>
    <w:pPr>
      <w:tabs>
        <w:tab w:val="center" w:pos="4680"/>
        <w:tab w:val="right" w:pos="9360"/>
      </w:tabs>
    </w:pPr>
  </w:style>
  <w:style w:type="character" w:customStyle="1" w:styleId="HeaderChar">
    <w:name w:val="Header Char"/>
    <w:basedOn w:val="DefaultParagraphFont"/>
    <w:link w:val="Header"/>
    <w:uiPriority w:val="99"/>
    <w:rsid w:val="00A75387"/>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A75387"/>
    <w:pPr>
      <w:tabs>
        <w:tab w:val="center" w:pos="4680"/>
        <w:tab w:val="right" w:pos="9360"/>
      </w:tabs>
    </w:pPr>
  </w:style>
  <w:style w:type="character" w:customStyle="1" w:styleId="FooterChar">
    <w:name w:val="Footer Char"/>
    <w:basedOn w:val="DefaultParagraphFont"/>
    <w:link w:val="Footer"/>
    <w:uiPriority w:val="99"/>
    <w:rsid w:val="00A75387"/>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gov/mmwr/volumes/67/wr/mm6701a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mmwr/preview/mmwrhtml/mm5049a5.ht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schedules/hcp/child-adolescent.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dc.gov/vaccines/hcp/vis/vis-statements/mmr.pdf" TargetMode="External"/><Relationship Id="rId4" Type="http://schemas.openxmlformats.org/officeDocument/2006/relationships/webSettings" Target="webSettings.xml"/><Relationship Id="rId9" Type="http://schemas.openxmlformats.org/officeDocument/2006/relationships/hyperlink" Target="http://www.cdc.gov/vaccines/programs/vfc/providers/resolu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A86EA8D1-78D7-4CE7-8D07-9B96C94D292C}"/>
</file>

<file path=customXml/itemProps2.xml><?xml version="1.0" encoding="utf-8"?>
<ds:datastoreItem xmlns:ds="http://schemas.openxmlformats.org/officeDocument/2006/customXml" ds:itemID="{18C59BC8-85CF-4484-9E92-721F046891D0}"/>
</file>

<file path=customXml/itemProps3.xml><?xml version="1.0" encoding="utf-8"?>
<ds:datastoreItem xmlns:ds="http://schemas.openxmlformats.org/officeDocument/2006/customXml" ds:itemID="{8172D657-3AC1-40C7-BC27-78E2616A5798}"/>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5404</Characters>
  <Application>Microsoft Office Word</Application>
  <DocSecurity>0</DocSecurity>
  <Lines>45</Lines>
  <Paragraphs>12</Paragraphs>
  <ScaleCrop>false</ScaleCrop>
  <Company>Commonwealth of Kentucky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(R) - MMR (CHILD)</dc:title>
  <dc:subject/>
  <dc:creator>Cunningham, Troi (CHFS PH EPI)</dc:creator>
  <cp:keywords/>
  <dc:description/>
  <cp:lastModifiedBy>Cunningham, Troi (CHFS PH EPI)</cp:lastModifiedBy>
  <cp:revision>5</cp:revision>
  <dcterms:created xsi:type="dcterms:W3CDTF">2018-06-29T17:50:00Z</dcterms:created>
  <dcterms:modified xsi:type="dcterms:W3CDTF">2018-06-29T19:50:00Z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