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Protocol for Administration of</w:t>
      </w:r>
      <w:r w:rsidRPr="00DC2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C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Meningococcal (Groups A, C, Y, and W-135) Oligosaccharide </w:t>
      </w:r>
      <w:r w:rsidRPr="00DC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Diphtheria CRM197 Conjugate Vaccine (</w:t>
      </w:r>
      <w:proofErr w:type="spellStart"/>
      <w:r w:rsidRPr="00DC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MenACWY</w:t>
      </w:r>
      <w:proofErr w:type="spellEnd"/>
      <w:r w:rsidRPr="00DC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-CRM)</w:t>
      </w:r>
    </w:p>
    <w:p w:rsidR="00C95333" w:rsidRPr="00DC2A32" w:rsidRDefault="00C95333" w:rsidP="00C95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(MENVEO</w:t>
      </w:r>
      <w:r w:rsidRPr="00C9533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95333" w:rsidRPr="00DC2A32" w:rsidRDefault="00C95333" w:rsidP="00C9533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Indications and Usage</w:t>
      </w:r>
    </w:p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quadrivalent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meningococcal conjugate vaccine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is indicated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active immunization of persons aged 2 months through 55 years for the prevention of invasive meningococcal disease caused by </w:t>
      </w:r>
      <w:r w:rsidRPr="00DC2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Neisseria </w:t>
      </w:r>
      <w:proofErr w:type="spellStart"/>
      <w:r w:rsidRPr="00DC2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meningitidis</w:t>
      </w:r>
      <w:proofErr w:type="spellEnd"/>
      <w:r w:rsidRPr="00DC2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serogroups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A, C, Y, and W-135.  </w:t>
      </w:r>
    </w:p>
    <w:p w:rsidR="00C95333" w:rsidRPr="00DC2A32" w:rsidRDefault="00C95333" w:rsidP="00C9533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95333" w:rsidRPr="00DC2A32" w:rsidRDefault="00C95333" w:rsidP="00C9533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Recommended Schedule</w:t>
      </w:r>
    </w:p>
    <w:p w:rsidR="00C95333" w:rsidRPr="00DC2A32" w:rsidRDefault="00C95333" w:rsidP="00C9533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Meningococcal conjugate vaccine is recommended by the Advisory Committee on Immunization Practices (ACIP)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these age groups:</w:t>
      </w:r>
    </w:p>
    <w:p w:rsidR="00C95333" w:rsidRPr="00DC2A32" w:rsidRDefault="00C95333" w:rsidP="00C95333">
      <w:pPr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Routine Vaccination of Adolescents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Administer meningococcal conjugate vaccine, either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all adolescents, preferably at age 11 through 12 years with a booster dose at age 16 years.  </w:t>
      </w:r>
    </w:p>
    <w:p w:rsidR="00C95333" w:rsidRPr="00DC2A32" w:rsidRDefault="00C95333" w:rsidP="00C9533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Administer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adolescents aged 13 through 18 years if not previously vaccinated.</w:t>
      </w:r>
    </w:p>
    <w:p w:rsidR="00C95333" w:rsidRPr="00DC2A32" w:rsidRDefault="00C95333" w:rsidP="00C95333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first dose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is administered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age 13 through 15 years, a booster dose should be administered at age 16 through 18 years with a minimum interval of at least 8 weeks between doses.  </w:t>
      </w:r>
    </w:p>
    <w:p w:rsidR="00C95333" w:rsidRPr="00DC2A32" w:rsidRDefault="00C95333" w:rsidP="00C95333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first dose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is administered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or after age 16 years a booster dose is not needed unless the person is at increased risk for meningococcal disease.  </w:t>
      </w:r>
    </w:p>
    <w:p w:rsidR="00C95333" w:rsidRPr="00DC2A32" w:rsidRDefault="00C95333" w:rsidP="00C95333">
      <w:pPr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All adolescents aged 11 through 18 years should preferably receive either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r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outine meningococcal vaccination. </w:t>
      </w:r>
    </w:p>
    <w:p w:rsidR="00C95333" w:rsidRPr="00DC2A32" w:rsidRDefault="00C95333" w:rsidP="00C95333">
      <w:pPr>
        <w:numPr>
          <w:ilvl w:val="0"/>
          <w:numId w:val="20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 persons aged 19 through 55 years at increased risk for meningococcal disease (see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below) should preferably receive either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95333" w:rsidRPr="00DC2A32" w:rsidRDefault="00C95333" w:rsidP="00C95333">
      <w:pPr>
        <w:numPr>
          <w:ilvl w:val="0"/>
          <w:numId w:val="20"/>
        </w:numPr>
        <w:spacing w:after="6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persons aged 56 years and older at increased risk for meningococcal disease. 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preferred for adults aged 56 years or older who a) were vaccinated previously with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are recommended for revaccination, or b) for whom multiple doses are anticipated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(e.g., persons with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complement deficiencies, HIV infection, and microbiologists).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Neither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FDA approved for this age group.</w:t>
      </w:r>
    </w:p>
    <w:p w:rsidR="00C95333" w:rsidRPr="00DC2A32" w:rsidRDefault="00C95333" w:rsidP="00C95333">
      <w:pPr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Adolescents aged 11 through 18 years with human immunodeficiency virus (HIV) infection should receive a 2-dose primary series of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, with at least 8 weeks between doses.  Evidence suggests that persons with HIV do not respond optimally to a single dose.</w:t>
      </w:r>
    </w:p>
    <w:p w:rsidR="00C95333" w:rsidRPr="00DC2A32" w:rsidRDefault="00C95333" w:rsidP="00C95333">
      <w:pPr>
        <w:numPr>
          <w:ilvl w:val="0"/>
          <w:numId w:val="20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First year college students up through 21 years who are living in residence halls should receive one (1) primary dose of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if not previously vaccinated on or after their 16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birthday.  Give a booster dose of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if a previous dose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was given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when younger than 16 years of age.</w:t>
      </w:r>
    </w:p>
    <w:p w:rsidR="00C95333" w:rsidRDefault="00C95333" w:rsidP="00C95333">
      <w:pPr>
        <w:widowControl w:val="0"/>
        <w:autoSpaceDE w:val="0"/>
        <w:autoSpaceDN w:val="0"/>
        <w:adjustRightInd w:val="0"/>
        <w:spacing w:after="6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5333" w:rsidRPr="00DC2A32" w:rsidRDefault="00C95333" w:rsidP="00C953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All persons aged 2 months through 23 months of age at increased risk for meningococcal disease (see below) </w:t>
      </w:r>
      <w:r w:rsidRPr="00DC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SHOULD ONLY RECEIVE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age-appropriate doses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 described below and in the Table below on the “Recommended Vaccination Schedule and Intervals.”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5333" w:rsidRPr="00DC2A32" w:rsidRDefault="00C95333" w:rsidP="00C95333">
      <w:pPr>
        <w:numPr>
          <w:ilvl w:val="1"/>
          <w:numId w:val="20"/>
        </w:num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children aged 2 through 18 months with anatomic or functional </w:t>
      </w:r>
      <w:proofErr w:type="spell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(including sickle cell disease), administer a 4-dose infant series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2, 4, 6, and 12 through 15 months of age, with at least 8 weeks between doses.</w:t>
      </w:r>
    </w:p>
    <w:p w:rsidR="00C95333" w:rsidRPr="00DC2A32" w:rsidRDefault="00C95333" w:rsidP="00C95333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aged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18 months with persistent complement component deficiency, administer a 4-dose infant series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2, 4, 6, and 12 through 15 months with at least 8 weeks between doses.  </w:t>
      </w:r>
    </w:p>
    <w:p w:rsidR="00C95333" w:rsidRPr="00DC2A32" w:rsidRDefault="00C95333" w:rsidP="00C95333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 children aged 7 through 23 months with persistent complement component deficiency who have not initiated vaccination, two options exist depending on age and vaccine brand:</w:t>
      </w:r>
    </w:p>
    <w:p w:rsidR="00C95333" w:rsidRPr="00DC2A32" w:rsidRDefault="00C95333" w:rsidP="00C95333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children who initiate vaccination with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through 23 months of age, a 2-dose series should be administered with the second dose after 12 months of age and at least 3 months after the first dose.</w:t>
      </w:r>
    </w:p>
    <w:p w:rsidR="00C95333" w:rsidRPr="00DC2A32" w:rsidRDefault="00C95333" w:rsidP="00C95333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children who initiate vaccination with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through 23 months of age, a 2- dose series of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should be administered at least 3 months apart.  </w:t>
      </w:r>
    </w:p>
    <w:p w:rsidR="00C95333" w:rsidRPr="00DC2A32" w:rsidRDefault="00C95333" w:rsidP="00C95333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children aged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23 months,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given as a 2-dose primary series with 12 weeks between doses. </w:t>
      </w:r>
    </w:p>
    <w:p w:rsidR="00C95333" w:rsidRPr="00DC2A32" w:rsidRDefault="00C95333" w:rsidP="00C95333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aged 19 through 23 months who have not completed a series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administer two primary doses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least 3 months apart.  </w:t>
      </w:r>
    </w:p>
    <w:p w:rsidR="00C95333" w:rsidRPr="00DC2A32" w:rsidRDefault="00C95333" w:rsidP="00C95333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aged 19 through 23 months with persistent complement component deficiency who have not received a complete series of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administer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primary doses of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at least 8 weeks apart.</w:t>
      </w:r>
    </w:p>
    <w:p w:rsidR="00C95333" w:rsidRPr="00DC2A32" w:rsidRDefault="00C95333" w:rsidP="00C95333">
      <w:pPr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For children aged 24 months and older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persistent complement component deficiency or anatomic or functional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(including sickle cell disease), or HIV infection who have not received a complete series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administer 2 primary doses of either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least 2 months apart.  </w:t>
      </w:r>
    </w:p>
    <w:p w:rsidR="00C95333" w:rsidRPr="00DC2A32" w:rsidRDefault="00C95333" w:rsidP="00C95333">
      <w:pPr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If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is administered to a child with anatomic or functional </w:t>
      </w:r>
      <w:proofErr w:type="spell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(including sickle cell disease) or HIV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infection,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not administer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until 2 years of age and at least 4 weeks after the completion of all PCV13 doses. 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may be given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any time before or after PCV13.</w:t>
      </w:r>
    </w:p>
    <w:p w:rsidR="00C95333" w:rsidRDefault="00C95333" w:rsidP="00C95333">
      <w:pPr>
        <w:keepNext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All persons aged 2 years through 10 years at increased risk for meningococcal disease (see below) should preferably receive either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(approved for ages 9 months through 55 years)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(approved for ages 2 months through 55 years)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persons aged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55 years with persistent complement component deficiency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(e.g., C5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C9,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properdin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factor H, or factor D) and anatomic or functional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(including sickle cell disease), or human immunodeficiency virus (HIV) infection should receive a 2-dose primary series administered two months apart.  Both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approved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this age group.</w:t>
      </w:r>
    </w:p>
    <w:p w:rsidR="00C95333" w:rsidRPr="00DC2A32" w:rsidRDefault="00C95333" w:rsidP="00C95333">
      <w:pPr>
        <w:keepNext/>
        <w:keepLines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HIV infection is an indication for routine vaccination with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Persons with HIV infection who are recommended routinely to receive vaccine (i.e.,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persons aged ≥9 months at increased risk for meningococcal disease and all persons aged 11 through 18 years) should receive a 2-dose primary series, administered 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noBreakHyphen/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weeks apart, because evidence suggests that persons with HIV do not respond optimally to a single dose.  </w:t>
      </w:r>
    </w:p>
    <w:p w:rsidR="00C95333" w:rsidRDefault="00C95333" w:rsidP="00C9533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5333" w:rsidRDefault="00C95333" w:rsidP="00C9533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5333" w:rsidRPr="00DC2A32" w:rsidRDefault="00C95333" w:rsidP="00C9533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5333" w:rsidRPr="00DC2A32" w:rsidRDefault="00C95333" w:rsidP="00C95333">
      <w:pPr>
        <w:widowControl w:val="0"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NOTE:</w:t>
      </w:r>
    </w:p>
    <w:p w:rsidR="00C95333" w:rsidRPr="00DC2A32" w:rsidRDefault="00C95333" w:rsidP="00C9533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All persons aged 9 through 23 months of age at increased risk for invasive meningococcal disease (see below) </w:t>
      </w:r>
      <w:r w:rsidRPr="00DC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SHOULD ONLY RECEIVE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active immunization against invasive meningococcal disease caused by </w:t>
      </w:r>
      <w:r w:rsidRPr="00DC2A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Neisseria </w:t>
      </w:r>
      <w:proofErr w:type="spellStart"/>
      <w:r w:rsidRPr="00DC2A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meningitidis</w:t>
      </w:r>
      <w:proofErr w:type="spell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serogroups</w:t>
      </w:r>
      <w:proofErr w:type="spell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A, C, Y, and W-135.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children aged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23 months,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given as a 2-dose series 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months apart. 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administered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intramuscularly.  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br w:type="page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730"/>
        <w:gridCol w:w="2140"/>
        <w:gridCol w:w="4260"/>
      </w:tblGrid>
      <w:tr w:rsidR="00C95333" w:rsidRPr="00DC2A32" w:rsidTr="00761C75">
        <w:trPr>
          <w:trHeight w:val="276"/>
          <w:tblHeader/>
          <w:jc w:val="center"/>
        </w:trPr>
        <w:tc>
          <w:tcPr>
            <w:tcW w:w="9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Recommended Vaccination Schedule and Intervals</w:t>
            </w: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</w:r>
            <w:hyperlink r:id="rId7" w:history="1">
              <w:r w:rsidRPr="00DC2A3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http://www.cdc.gov/vaccines/programs/vfc/downloads/resolutions/1013-mening-mcv.pdf</w:t>
              </w:r>
            </w:hyperlink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</w:p>
        </w:tc>
      </w:tr>
      <w:tr w:rsidR="00C95333" w:rsidRPr="00DC2A32" w:rsidTr="00761C75">
        <w:trPr>
          <w:trHeight w:val="276"/>
          <w:tblHeader/>
          <w:jc w:val="center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Age Group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Vaccine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Routine Recommendations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Dosing Schedule</w:t>
            </w:r>
          </w:p>
        </w:tc>
      </w:tr>
      <w:tr w:rsidR="00C95333" w:rsidRPr="00DC2A32" w:rsidTr="00761C75">
        <w:trPr>
          <w:trHeight w:val="1492"/>
          <w:jc w:val="center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proofErr w:type="spellStart"/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mos</w:t>
            </w:r>
            <w:proofErr w:type="spellEnd"/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through 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10 years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11 through 18 years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333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MenACWY</w:t>
            </w:r>
            <w:proofErr w:type="spellEnd"/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C9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MENVEO</w:t>
            </w:r>
            <w:r w:rsidRPr="00C95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®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Novartis)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High-risk only¶ 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Primary: </w:t>
            </w:r>
          </w:p>
          <w:p w:rsidR="00C95333" w:rsidRPr="00DC2A32" w:rsidRDefault="00C95333" w:rsidP="00761C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Age 2 through 6 months: 4 doses at 2, 4, 6, and 12 months </w:t>
            </w:r>
          </w:p>
          <w:p w:rsidR="00C95333" w:rsidRPr="00DC2A32" w:rsidRDefault="00C95333" w:rsidP="00761C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Age 7 through 23 months: 2 doses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should be given with the second dose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given in the second year of life </w:t>
            </w:r>
          </w:p>
          <w:p w:rsidR="00C95333" w:rsidRPr="00DC2A32" w:rsidRDefault="00C95333" w:rsidP="00761C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Age 2 through 10 years: 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1 or 2 doses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Booster 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(for persons who remain at risk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¶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): </w:t>
            </w:r>
          </w:p>
          <w:p w:rsidR="00C95333" w:rsidRPr="00DC2A32" w:rsidRDefault="00C95333" w:rsidP="00761C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1st booster 3 years after primary series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for children who received primary series prior to age &lt;7 years, then every 5 years </w:t>
            </w:r>
          </w:p>
          <w:p w:rsidR="00C95333" w:rsidRPr="00DC2A32" w:rsidRDefault="00C95333" w:rsidP="00761C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Every 5 years for children who received primary series after 7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th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 birthday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5333" w:rsidRPr="00DC2A32" w:rsidTr="00761C75">
        <w:trPr>
          <w:trHeight w:val="1586"/>
          <w:jc w:val="center"/>
        </w:trPr>
        <w:tc>
          <w:tcPr>
            <w:tcW w:w="10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MenACWY</w:t>
            </w:r>
            <w:proofErr w:type="spellEnd"/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r w:rsidR="00D1127A" w:rsidRPr="00D112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MENACTRA</w:t>
            </w:r>
            <w:r w:rsidR="00D1127A" w:rsidRPr="00D112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®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Sanofi)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High-risk only* 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Primary: </w:t>
            </w:r>
          </w:p>
          <w:p w:rsidR="00C95333" w:rsidRPr="00DC2A32" w:rsidRDefault="00C95333" w:rsidP="00761C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Age 9 through 23 months: 2 dose series with 12 weeks between doses </w:t>
            </w:r>
          </w:p>
          <w:p w:rsidR="00C95333" w:rsidRPr="00DC2A32" w:rsidRDefault="00C95333" w:rsidP="00761C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Age 2 through 10 years: 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1 or 2 doses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Booster 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(for persons who remain at risk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¶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): </w:t>
            </w:r>
          </w:p>
          <w:p w:rsidR="00C95333" w:rsidRPr="00DC2A32" w:rsidRDefault="00C95333" w:rsidP="00761C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1st booster 3 years after primary series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for children who received primary series prior to age &lt;7 years, then every 5 years </w:t>
            </w:r>
          </w:p>
          <w:p w:rsidR="00C95333" w:rsidRPr="00DC2A32" w:rsidRDefault="00C95333" w:rsidP="00761C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Every 5 years for children who received primary series after 7th birthday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5333" w:rsidRPr="00DC2A32" w:rsidTr="00761C75">
        <w:trPr>
          <w:trHeight w:val="2160"/>
          <w:jc w:val="center"/>
        </w:trPr>
        <w:tc>
          <w:tcPr>
            <w:tcW w:w="10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95333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MenACWY</w:t>
            </w:r>
            <w:proofErr w:type="spellEnd"/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C9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MENVEO</w:t>
            </w:r>
            <w:r w:rsidRPr="00C95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®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</w:t>
            </w:r>
            <w:r w:rsidR="00D1127A" w:rsidRPr="00D112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MENACTRA</w:t>
            </w:r>
            <w:r w:rsidR="00D1127A" w:rsidRPr="00D112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®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Children aged 11 through 18 years 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Adolescents: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Primary: </w:t>
            </w:r>
          </w:p>
          <w:p w:rsidR="00C95333" w:rsidRPr="00DC2A32" w:rsidRDefault="00C95333" w:rsidP="00C953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Age 11 through 12 years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with booster dose at age 16 years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Booster 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(for persons who remain at risk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¶</w:t>
            </w: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): </w:t>
            </w:r>
          </w:p>
          <w:p w:rsidR="00C95333" w:rsidRPr="00DC2A32" w:rsidRDefault="00C95333" w:rsidP="00C953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 booster dose is not recommended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if the first dose is given on or after 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 child’s 16th birthday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5333" w:rsidRPr="00DC2A32" w:rsidTr="00761C75">
        <w:trPr>
          <w:trHeight w:val="864"/>
          <w:jc w:val="center"/>
        </w:trPr>
        <w:tc>
          <w:tcPr>
            <w:tcW w:w="10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33" w:rsidRPr="00DC2A32" w:rsidRDefault="00C95333" w:rsidP="00761C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Adolescents with complement component deficiency, or functional or anatomic </w:t>
            </w:r>
            <w:proofErr w:type="spellStart"/>
            <w:r w:rsidRPr="00DC2A3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asplenia</w:t>
            </w:r>
            <w:proofErr w:type="spellEnd"/>
            <w:r w:rsidRPr="00DC2A3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; HIV infection:</w:t>
            </w:r>
          </w:p>
          <w:p w:rsidR="00C95333" w:rsidRPr="00DC2A32" w:rsidRDefault="00C95333" w:rsidP="00C953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 doses, 8 through 12 weeks apart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Booster for adolescents who remain at increased risk (complement component deficiency, functional or anatomic </w:t>
            </w:r>
            <w:proofErr w:type="spellStart"/>
            <w:r w:rsidRPr="00DC2A3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asplenia</w:t>
            </w:r>
            <w:proofErr w:type="spellEnd"/>
            <w:r w:rsidRPr="00DC2A3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HIV infection, traveling or part of a meningococcal outbreak more than 5 years after the prior dose):</w:t>
            </w:r>
          </w:p>
          <w:p w:rsidR="00C95333" w:rsidRPr="00DC2A32" w:rsidRDefault="00C95333" w:rsidP="00C953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</w:t>
            </w:r>
            <w:r w:rsidRPr="00DC2A3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vertAlign w:val="superscript"/>
              </w:rPr>
              <w:t>st</w:t>
            </w:r>
            <w:r w:rsidRPr="00DC2A3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booster 5 years after primary</w:t>
            </w:r>
          </w:p>
          <w:p w:rsidR="00C95333" w:rsidRPr="00DC2A32" w:rsidRDefault="00C95333" w:rsidP="00C953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2A3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Additional boosters every 5 years</w:t>
            </w:r>
          </w:p>
          <w:p w:rsidR="00C95333" w:rsidRPr="00DC2A32" w:rsidRDefault="00C95333" w:rsidP="00761C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95333" w:rsidRPr="00DC2A32" w:rsidRDefault="00C95333" w:rsidP="00C95333">
      <w:pPr>
        <w:keepNext/>
        <w:keepLines/>
        <w:autoSpaceDE w:val="0"/>
        <w:autoSpaceDN w:val="0"/>
        <w:adjustRightInd w:val="0"/>
        <w:spacing w:after="0" w:line="240" w:lineRule="auto"/>
        <w:ind w:left="288" w:hanging="144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C2A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¶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For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children with complement component deficiency, functional or anatomic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HIV infection, part of a community or organizational outbreak, or traveling internationally to a region with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hyperendemic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or endemic meningococcal disease. </w:t>
      </w:r>
    </w:p>
    <w:p w:rsidR="00C95333" w:rsidRPr="00DC2A32" w:rsidRDefault="00C95333" w:rsidP="00C95333">
      <w:pPr>
        <w:keepNext/>
        <w:keepLines/>
        <w:autoSpaceDE w:val="0"/>
        <w:autoSpaceDN w:val="0"/>
        <w:adjustRightInd w:val="0"/>
        <w:spacing w:after="0" w:line="240" w:lineRule="auto"/>
        <w:ind w:left="288" w:hanging="144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* For children with complement component deficiency, functional or anatomic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HIV infection, part of a community or organizational outbreak, or traveling internationally to a region with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hyperendemic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or endemic meningococcal disease.  For infants receiving the vaccine prior to travel, the two doses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may be administered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as early as 8 weeks apart.  Infants with functional or anatomic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or HIV infection should wait until 2 years of age to prevent immune interference with PCV13. </w:t>
      </w:r>
    </w:p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ind w:left="288" w:hanging="144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§ For children with complement component deficiency, functional or anatomic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part of a community or organizational outbreak,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0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should be used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as booster doses for children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C95333" w:rsidRPr="00DC2A32" w:rsidRDefault="00C95333" w:rsidP="00C95333">
      <w:pPr>
        <w:autoSpaceDE w:val="0"/>
        <w:autoSpaceDN w:val="0"/>
        <w:adjustRightInd w:val="0"/>
        <w:spacing w:before="60" w:after="0" w:line="240" w:lineRule="auto"/>
        <w:ind w:left="14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Note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Use of brand names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is not meant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to preclude the use of other meningococcal vaccines where appropriate.</w:t>
      </w:r>
    </w:p>
    <w:p w:rsidR="00C95333" w:rsidRPr="00DC2A32" w:rsidRDefault="00C95333" w:rsidP="00C95333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Vaccination of persons with high-risk conditions and other persons at increased risk of disease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5333" w:rsidRPr="00DC2A32" w:rsidRDefault="00C95333" w:rsidP="00C95333">
      <w:pPr>
        <w:keepNext/>
        <w:keepLines/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with anatomic or functional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(including sickle cell disease) or HIV infection:</w:t>
      </w:r>
    </w:p>
    <w:p w:rsidR="00C95333" w:rsidRPr="00DC2A32" w:rsidRDefault="00C95333" w:rsidP="00C95333">
      <w:pPr>
        <w:keepNext/>
        <w:keepLines/>
        <w:numPr>
          <w:ilvl w:val="0"/>
          <w:numId w:val="25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younger than 19 months of age, administer a 4-dose infant series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2, 4, 6, and 12 through 15 months of age.</w:t>
      </w:r>
    </w:p>
    <w:p w:rsidR="00C95333" w:rsidRPr="00DC2A32" w:rsidRDefault="00C95333" w:rsidP="00C95333">
      <w:pPr>
        <w:keepNext/>
        <w:keepLines/>
        <w:numPr>
          <w:ilvl w:val="0"/>
          <w:numId w:val="25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aged 19 through 23 months who have not completed a series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administer two primary doses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least three months apart.</w:t>
      </w:r>
    </w:p>
    <w:p w:rsidR="00C95333" w:rsidRPr="00DC2A32" w:rsidRDefault="00C95333" w:rsidP="00C95333">
      <w:pPr>
        <w:keepNext/>
        <w:keepLines/>
        <w:numPr>
          <w:ilvl w:val="0"/>
          <w:numId w:val="25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aged 24 months and older who have not received a complete series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administer two primary doses of either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least 2 months apart.  If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administered to a child with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(including sickle cell disease)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not administer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2 years of age and at least 4 weeks after the completion of all PCV13 doses.</w:t>
      </w:r>
    </w:p>
    <w:p w:rsidR="00C95333" w:rsidRPr="00DC2A32" w:rsidRDefault="00C95333" w:rsidP="00C95333">
      <w:pPr>
        <w:keepNext/>
        <w:keepLines/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with persistent complement component deficiencies: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(C3, C5-9,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Properdin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, Factor D, and Factor H)</w:t>
      </w:r>
    </w:p>
    <w:p w:rsidR="00C95333" w:rsidRPr="00DC2A32" w:rsidRDefault="00C95333" w:rsidP="00C95333">
      <w:pPr>
        <w:keepNext/>
        <w:keepLines/>
        <w:numPr>
          <w:ilvl w:val="0"/>
          <w:numId w:val="26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younger than 19 months of age, administer a 4-dose infant series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2, 4, 6, and 12 through 15 months of age.</w:t>
      </w:r>
    </w:p>
    <w:p w:rsidR="00C95333" w:rsidRPr="00DC2A32" w:rsidRDefault="00C95333" w:rsidP="00C95333">
      <w:pPr>
        <w:keepNext/>
        <w:keepLines/>
        <w:numPr>
          <w:ilvl w:val="0"/>
          <w:numId w:val="26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For children 7 through 23 months who have not initiated vaccination, two options exist depending on age and vaccine brand:</w:t>
      </w:r>
    </w:p>
    <w:p w:rsidR="00C95333" w:rsidRPr="00DC2A32" w:rsidRDefault="00C95333" w:rsidP="00C95333">
      <w:pPr>
        <w:keepNext/>
        <w:keepLines/>
        <w:numPr>
          <w:ilvl w:val="0"/>
          <w:numId w:val="27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who initiate vaccination with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 months through 23 months of age, a 2-dose series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administered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second dose after 12 months of age and at least 3 months after the first dose.</w:t>
      </w:r>
    </w:p>
    <w:p w:rsidR="00C95333" w:rsidRPr="00DC2A32" w:rsidRDefault="00C95333" w:rsidP="00C95333">
      <w:pPr>
        <w:keepNext/>
        <w:keepLines/>
        <w:numPr>
          <w:ilvl w:val="0"/>
          <w:numId w:val="27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who initiate vaccination with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9 months through 23 months of age, a 2-dose series of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administered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least 3 months apart.</w:t>
      </w:r>
    </w:p>
    <w:p w:rsidR="00C95333" w:rsidRPr="00DC2A32" w:rsidRDefault="00C95333" w:rsidP="00C95333">
      <w:pPr>
        <w:keepNext/>
        <w:keepLines/>
        <w:numPr>
          <w:ilvl w:val="0"/>
          <w:numId w:val="27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aged 24 months and older who have not received a complete series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administer two primary doses of either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least 2 months apart.</w:t>
      </w:r>
    </w:p>
    <w:p w:rsidR="00C95333" w:rsidRPr="00DC2A32" w:rsidRDefault="00C95333" w:rsidP="00C95333">
      <w:pPr>
        <w:keepNext/>
        <w:keepLines/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Adults aged 19 years through 55 years with anatomic or functional </w:t>
      </w:r>
      <w:proofErr w:type="spell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(including sickle cell disease) or HIV infection:  Administer a 2-dose primary series of 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doses spaced 8–12 weeks apart. </w:t>
      </w:r>
    </w:p>
    <w:p w:rsidR="00C95333" w:rsidRPr="00DC2A32" w:rsidRDefault="00C95333" w:rsidP="00C95333">
      <w:pPr>
        <w:keepNext/>
        <w:keepLines/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Adults aged 19 years through 55 years with persistent complement component deficiencies (C3, C5-9, </w:t>
      </w:r>
      <w:proofErr w:type="spell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Properdin</w:t>
      </w:r>
      <w:proofErr w:type="spell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Factor D, and Factor H):  Administer a 2-dose primary series of 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doses spaced 8–12 weeks apart.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5333" w:rsidRPr="00DC2A32" w:rsidRDefault="00C95333" w:rsidP="00C95333">
      <w:pPr>
        <w:keepNext/>
        <w:keepLines/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Adults aged 56 years and older with anatomic or functional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(including sickle cell disease), HIV infection, or with persistent complement component deficiencies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(C3, C5-9,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Properdin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, Factor D, and Factor H), see page 1 of this protocol.</w:t>
      </w:r>
    </w:p>
    <w:p w:rsidR="00C95333" w:rsidRPr="00DC2A32" w:rsidRDefault="00C95333" w:rsidP="00C9533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:rsidR="00C95333" w:rsidRPr="00DC2A32" w:rsidRDefault="00C95333" w:rsidP="00C95333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Catch-up recommendations for persons with high-risk conditions:</w:t>
      </w:r>
    </w:p>
    <w:p w:rsidR="00C95333" w:rsidRPr="00DC2A32" w:rsidRDefault="00C95333" w:rsidP="00C95333">
      <w:pPr>
        <w:keepNext/>
        <w:keepLines/>
        <w:numPr>
          <w:ilvl w:val="0"/>
          <w:numId w:val="11"/>
        </w:num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who initiate vaccination with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9 months of age, a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2-dose series should be administered with the second dose after 12 months of age and at least 3 months after the first dose.</w:t>
      </w:r>
    </w:p>
    <w:p w:rsidR="00C95333" w:rsidRPr="00DC2A32" w:rsidRDefault="00C95333" w:rsidP="00C95333">
      <w:pPr>
        <w:spacing w:after="12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5333" w:rsidRPr="00DC2A32" w:rsidRDefault="00C95333" w:rsidP="00C95333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5333" w:rsidRPr="00DC2A32" w:rsidRDefault="00C95333" w:rsidP="00C95333">
      <w:pPr>
        <w:keepNext/>
        <w:keepLines/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Persons at increased risk for meningococcal disease include:</w:t>
      </w:r>
    </w:p>
    <w:p w:rsidR="00C95333" w:rsidRPr="00DC2A32" w:rsidRDefault="00C95333" w:rsidP="00C95333">
      <w:pPr>
        <w:keepNext/>
        <w:keepLines/>
        <w:numPr>
          <w:ilvl w:val="0"/>
          <w:numId w:val="12"/>
        </w:numPr>
        <w:tabs>
          <w:tab w:val="clear" w:pos="360"/>
          <w:tab w:val="num" w:pos="720"/>
        </w:tabs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College freshmen who live in dormitories</w:t>
      </w:r>
    </w:p>
    <w:p w:rsidR="00C95333" w:rsidRPr="00DC2A32" w:rsidRDefault="00C95333" w:rsidP="00C95333">
      <w:pPr>
        <w:numPr>
          <w:ilvl w:val="0"/>
          <w:numId w:val="12"/>
        </w:numPr>
        <w:tabs>
          <w:tab w:val="clear" w:pos="360"/>
          <w:tab w:val="num" w:pos="720"/>
        </w:tabs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Persons with HIV infection</w:t>
      </w:r>
    </w:p>
    <w:p w:rsidR="00C95333" w:rsidRPr="00DC2A32" w:rsidRDefault="00C95333" w:rsidP="00C95333">
      <w:pPr>
        <w:numPr>
          <w:ilvl w:val="0"/>
          <w:numId w:val="12"/>
        </w:numPr>
        <w:tabs>
          <w:tab w:val="num" w:pos="720"/>
        </w:tabs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Persons who travel to or reside in countries where meningococcal disease is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hyperendemic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, such as sub-Saharan Africa, or epidemic,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particularly if contact with the local population will be prolonged.  A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dminister an age-appropriate formulation and series of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protection against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serogroups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and W meningococcal disease.  Prior receipt of MENHIBRIX</w:t>
      </w:r>
      <w:r w:rsid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sufficient for children traveling to the meningitis belt or the Hajj because it does not contain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serogroups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or W. 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Vaccination in the 3 years before the date of travel is required by the government of Saudi Arabia for all travelers to Mecca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the annual Hajj.  </w:t>
      </w:r>
    </w:p>
    <w:p w:rsidR="00C95333" w:rsidRPr="00DC2A32" w:rsidRDefault="00C95333" w:rsidP="00C95333">
      <w:pPr>
        <w:numPr>
          <w:ilvl w:val="0"/>
          <w:numId w:val="12"/>
        </w:numPr>
        <w:tabs>
          <w:tab w:val="clear" w:pos="360"/>
          <w:tab w:val="num" w:pos="720"/>
        </w:tabs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Persons with anatomic or functional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asplenia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(including sickle cell disease) </w:t>
      </w:r>
    </w:p>
    <w:p w:rsidR="00C95333" w:rsidRPr="00DC2A32" w:rsidRDefault="00C95333" w:rsidP="00C95333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Persons with persistent complement component deficiencies (e.g., C3, C5-9,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properdin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, Factor D, and Factor H)</w:t>
      </w:r>
    </w:p>
    <w:p w:rsidR="00C95333" w:rsidRPr="00DC2A32" w:rsidRDefault="00C95333" w:rsidP="00C95333">
      <w:pPr>
        <w:widowControl w:val="0"/>
        <w:numPr>
          <w:ilvl w:val="0"/>
          <w:numId w:val="12"/>
        </w:numPr>
        <w:tabs>
          <w:tab w:val="num" w:pos="720"/>
        </w:tabs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icrobiologists routinely exposed to isolates of </w:t>
      </w:r>
      <w:r w:rsidRPr="00DC2A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Neisseria </w:t>
      </w:r>
      <w:proofErr w:type="spellStart"/>
      <w:r w:rsidRPr="00DC2A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meningitidis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A booster dose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administered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 5 years if exposure is ongoing.</w:t>
      </w:r>
    </w:p>
    <w:p w:rsidR="00C95333" w:rsidRPr="00DC2A32" w:rsidRDefault="00C95333" w:rsidP="00C95333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Military recruits</w:t>
      </w:r>
    </w:p>
    <w:p w:rsidR="00C95333" w:rsidRPr="00DC2A32" w:rsidRDefault="00C95333" w:rsidP="00C95333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(aged 6 weeks and older) and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adults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are part of a community outbreak of invasive meningococcal disease caused by a vaccine-preventable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serogroup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administer or complete an age-and formulation-appropriate series of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95333" w:rsidRPr="00DC2A32" w:rsidRDefault="00C95333" w:rsidP="00C95333">
      <w:pPr>
        <w:widowControl w:val="0"/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95333" w:rsidRPr="00DC2A32" w:rsidRDefault="00C95333" w:rsidP="00C95333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Revaccination</w:t>
      </w:r>
      <w:r w:rsidRPr="00DC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5333" w:rsidRPr="00DC2A32" w:rsidRDefault="00C95333" w:rsidP="00C95333">
      <w:pPr>
        <w:widowControl w:val="0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Persons previously vaccinated with 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who are at prolonged increased risk for meningococcal disease (see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below)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should be revaccinated, preferably with either 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95333" w:rsidRPr="00DC2A32" w:rsidRDefault="00C95333" w:rsidP="00C95333">
      <w:pPr>
        <w:numPr>
          <w:ilvl w:val="0"/>
          <w:numId w:val="14"/>
        </w:numPr>
        <w:spacing w:after="6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Persons who previously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were vaccinated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the 2-dose primary series at ages 9 months through 24 months and are at prolonged increased risk should be revaccinated 3 years after their previous meningococcal vaccine.</w:t>
      </w:r>
    </w:p>
    <w:p w:rsidR="00C95333" w:rsidRPr="00DC2A32" w:rsidRDefault="00C95333" w:rsidP="00C95333">
      <w:pPr>
        <w:widowControl w:val="0"/>
        <w:numPr>
          <w:ilvl w:val="0"/>
          <w:numId w:val="14"/>
        </w:numPr>
        <w:spacing w:after="6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Persons who previously were vaccinated at ages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through 6 years and are at prolonged increased risk should be revaccinated 3 years after their previous meningococcal vaccine.</w:t>
      </w:r>
    </w:p>
    <w:p w:rsidR="00C95333" w:rsidRPr="00DC2A32" w:rsidRDefault="00C95333" w:rsidP="00C95333">
      <w:pPr>
        <w:widowControl w:val="0"/>
        <w:numPr>
          <w:ilvl w:val="0"/>
          <w:numId w:val="14"/>
        </w:numPr>
        <w:spacing w:after="6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Persons who previously were vaccinated at 7 years of age or older and are at prolonged increased risk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should be revaccinated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 years after their previous meningococcal vaccine.  </w:t>
      </w:r>
    </w:p>
    <w:p w:rsidR="00C95333" w:rsidRPr="00DC2A32" w:rsidRDefault="00C95333" w:rsidP="00C95333">
      <w:pPr>
        <w:widowControl w:val="0"/>
        <w:numPr>
          <w:ilvl w:val="0"/>
          <w:numId w:val="14"/>
        </w:numPr>
        <w:spacing w:after="6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Persons who remain in one of the increased risk groups indefinitely should continue to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 revaccinated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5-year intervals.  </w:t>
      </w:r>
    </w:p>
    <w:p w:rsidR="00C95333" w:rsidRPr="00DC2A32" w:rsidRDefault="00C95333" w:rsidP="00C95333">
      <w:pPr>
        <w:widowControl w:val="0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ollege freshmen living in dormitories who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were not previously vaccinated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five or more years ago are recommended to be revaccinated with either 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333" w:rsidRPr="00DC2A32" w:rsidRDefault="00C95333" w:rsidP="00C95333">
      <w:pPr>
        <w:widowControl w:val="0"/>
        <w:spacing w:after="6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International travelers should receive a booster dose of 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if the last dose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was administered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five or more years previously.  </w:t>
      </w:r>
      <w:proofErr w:type="gramStart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Vaccination in the three years before the date of travel is required by the government of Saudi Arabia for all travelers to Mecca</w:t>
      </w:r>
      <w:proofErr w:type="gramEnd"/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during the annual Hajj.</w:t>
      </w:r>
    </w:p>
    <w:p w:rsidR="00C95333" w:rsidRPr="00DC2A32" w:rsidRDefault="00C95333" w:rsidP="00C95333">
      <w:pPr>
        <w:widowControl w:val="0"/>
        <w:spacing w:after="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5333" w:rsidRPr="00DC2A32" w:rsidRDefault="00C95333" w:rsidP="00C95333">
      <w:pPr>
        <w:keepNext/>
        <w:keepLines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Revaccination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is not mentioned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 Insert.  Kentucky Immunization Program staff 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inquired with t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CDC National Immunization Program staff as to whether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can be used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revaccination.  The relevant part of their reply of Jun 09, 2010 was “. . . our meningococcal group agrees that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used for any indication within its licensed age range, including revaccination.”</w:t>
      </w:r>
    </w:p>
    <w:p w:rsidR="00C95333" w:rsidRPr="00DC2A32" w:rsidRDefault="00C95333" w:rsidP="00C9533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Persons at prolonged increased risk for meningococcal disease who </w:t>
      </w:r>
      <w:proofErr w:type="gramStart"/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should be revaccinated</w:t>
      </w:r>
      <w:proofErr w:type="gramEnd"/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include:</w:t>
      </w:r>
    </w:p>
    <w:p w:rsidR="00C95333" w:rsidRPr="00DC2A32" w:rsidRDefault="00C95333" w:rsidP="00C95333">
      <w:pPr>
        <w:keepNext/>
        <w:keepLines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Persons with increased susceptibility such as persistent complement component deficiencies (e.g., C3,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properdin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, Factor D, and late complement component deficiencies)</w:t>
      </w:r>
    </w:p>
    <w:p w:rsidR="00C95333" w:rsidRPr="00DC2A32" w:rsidRDefault="00C95333" w:rsidP="00C95333">
      <w:pPr>
        <w:keepNext/>
        <w:keepLines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Persons with anatomic or functional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asplenia</w:t>
      </w:r>
      <w:proofErr w:type="spellEnd"/>
    </w:p>
    <w:p w:rsidR="00C95333" w:rsidRPr="00DC2A32" w:rsidRDefault="00C95333" w:rsidP="00C95333">
      <w:pPr>
        <w:keepNext/>
        <w:keepLines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Persons with HIV infection</w:t>
      </w:r>
    </w:p>
    <w:p w:rsidR="00C95333" w:rsidRPr="00DC2A32" w:rsidRDefault="00C95333" w:rsidP="00C95333">
      <w:pPr>
        <w:keepNext/>
        <w:keepLines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Persons who have prolonged exposure (e.g., microbiologists routinely working with </w:t>
      </w:r>
      <w:r w:rsidRPr="00DC2A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Neisseria </w:t>
      </w:r>
      <w:proofErr w:type="spellStart"/>
      <w:r w:rsidRPr="00DC2A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meningitidis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travelers to or residents of countries where meningococcal disease is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hyperendemic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epidemic)</w:t>
      </w:r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Default="00C95333" w:rsidP="00C953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C95333" w:rsidRPr="00DC2A32" w:rsidRDefault="00C95333" w:rsidP="00C9533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Outbreak Control</w:t>
      </w:r>
    </w:p>
    <w:p w:rsidR="00C95333" w:rsidRPr="00DC2A32" w:rsidRDefault="00C95333" w:rsidP="00C95333">
      <w:pPr>
        <w:keepNext/>
        <w:keepLines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D1127A" w:rsidP="00C95333">
      <w:pPr>
        <w:widowControl w:val="0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MENACTRA</w:t>
      </w:r>
      <w:r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="00C9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C95333"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="00C95333"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="00C95333"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C95333"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recommended for use in the control of meningococcal outbreaks caused by vaccine-preventable </w:t>
      </w:r>
      <w:proofErr w:type="spellStart"/>
      <w:r w:rsidR="00C95333"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serogroups</w:t>
      </w:r>
      <w:proofErr w:type="spellEnd"/>
      <w:r w:rsidR="00C95333"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(A, C, Y, and W-135), as an adjunct to chemoprophylaxis.  </w:t>
      </w:r>
    </w:p>
    <w:p w:rsidR="00C95333" w:rsidRPr="00DC2A32" w:rsidRDefault="00C95333" w:rsidP="00C95333">
      <w:pPr>
        <w:widowControl w:val="0"/>
        <w:numPr>
          <w:ilvl w:val="1"/>
          <w:numId w:val="15"/>
        </w:numPr>
        <w:tabs>
          <w:tab w:val="left" w:pos="1080"/>
        </w:tabs>
        <w:spacing w:after="6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may be used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infants and children aged 2 months through 23 months.</w:t>
      </w:r>
    </w:p>
    <w:p w:rsidR="00C95333" w:rsidRPr="00DC2A32" w:rsidRDefault="00D1127A" w:rsidP="00C95333">
      <w:pPr>
        <w:widowControl w:val="0"/>
        <w:numPr>
          <w:ilvl w:val="1"/>
          <w:numId w:val="15"/>
        </w:numPr>
        <w:tabs>
          <w:tab w:val="left" w:pos="1080"/>
        </w:tabs>
        <w:spacing w:after="6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MENACTRA</w:t>
      </w:r>
      <w:r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="00C95333"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5333"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may be used</w:t>
      </w:r>
      <w:proofErr w:type="gramEnd"/>
      <w:r w:rsidR="00C95333"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infants and children aged 9 months through 23 months.  </w:t>
      </w:r>
    </w:p>
    <w:p w:rsidR="00C95333" w:rsidRPr="00DC2A32" w:rsidRDefault="00D1127A" w:rsidP="00C95333">
      <w:pPr>
        <w:widowControl w:val="0"/>
        <w:numPr>
          <w:ilvl w:val="1"/>
          <w:numId w:val="15"/>
        </w:numPr>
        <w:tabs>
          <w:tab w:val="left" w:pos="1080"/>
        </w:tabs>
        <w:spacing w:after="6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MENACTRA</w:t>
      </w:r>
      <w:r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="00C95333"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="00C95333"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="00C95333"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="00C95333"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5333"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is preferred for use among children</w:t>
      </w:r>
      <w:r w:rsidR="00C95333"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C95333"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adolescents, and adults aged 2 years through 55 years for control of meningococcal disease outbreaks.   </w:t>
      </w:r>
    </w:p>
    <w:p w:rsidR="00C95333" w:rsidRPr="00DC2A32" w:rsidRDefault="00C95333" w:rsidP="00C95333">
      <w:pPr>
        <w:widowControl w:val="0"/>
        <w:numPr>
          <w:ilvl w:val="1"/>
          <w:numId w:val="15"/>
        </w:numPr>
        <w:tabs>
          <w:tab w:val="left" w:pos="1080"/>
        </w:tabs>
        <w:spacing w:after="6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persons now aged 56 years and older who were vaccinated previously with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are recommended for revaccination, 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preferred.</w:t>
      </w:r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95333" w:rsidRPr="00DC2A32" w:rsidRDefault="00C95333" w:rsidP="00C95333">
      <w:pPr>
        <w:keepNext/>
        <w:keepLines/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Preparation for Administration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(See the Package Insert)</w:t>
      </w:r>
    </w:p>
    <w:p w:rsidR="00C95333" w:rsidRPr="00DC2A32" w:rsidRDefault="00C95333" w:rsidP="00C95333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is supplied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two vials that must be combined prior to administration.  Vaccine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must be reconstituted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using a graduated syringe to withdraw the entire contents of the vial of MenCYW-135 liquid conjugate component and injecting it into the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MenA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lyophilized conjugate component vial.  Gently invert or swirl the reconstituted vial until vaccine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is dissolved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, and then withdraw 0.5 mL of reconstituted product.</w:t>
      </w:r>
    </w:p>
    <w:p w:rsidR="00C95333" w:rsidRPr="00DC2A32" w:rsidRDefault="00C95333" w:rsidP="00C95333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reconstitution, the vaccine is a clear, colorless solution, free from visible foreign particles.</w:t>
      </w:r>
    </w:p>
    <w:p w:rsidR="00C95333" w:rsidRPr="00DC2A32" w:rsidRDefault="00C95333" w:rsidP="00C95333">
      <w:pPr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 that it is normal for a small amount of liquid to remain in the vial following withdrawal of the dose.</w:t>
      </w:r>
    </w:p>
    <w:p w:rsidR="00C95333" w:rsidRPr="00DC2A32" w:rsidRDefault="00C95333" w:rsidP="00C95333">
      <w:pPr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mix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any of its components with any other vaccine or diluent in the same syringe or vial.</w:t>
      </w:r>
    </w:p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95333" w:rsidRPr="00DC2A32" w:rsidRDefault="00C95333" w:rsidP="00C95333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Dosage and Route</w:t>
      </w: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(Always check the package insert prior to administration.)</w:t>
      </w:r>
    </w:p>
    <w:p w:rsidR="00C95333" w:rsidRPr="00DC2A32" w:rsidRDefault="00C95333" w:rsidP="00C95333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Administer 0.5 mL intramuscularly (IM).  Consult “Epidemiology and Prevention of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Vaccine-Preventable Diseases” (The Pink Book), Appendix D, for information about appropriate needle sizes, needle lengths, and sites for administering vaccines.  </w:t>
      </w:r>
    </w:p>
    <w:p w:rsidR="00C95333" w:rsidRPr="00DC2A32" w:rsidRDefault="00C95333" w:rsidP="00C9533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administer this product intravenously, subcutaneously, or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intradermally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95333" w:rsidRPr="00DC2A32" w:rsidRDefault="00C95333" w:rsidP="00C95333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Anatomical Site </w:t>
      </w:r>
    </w:p>
    <w:p w:rsidR="00C95333" w:rsidRPr="00DC2A32" w:rsidRDefault="00C95333" w:rsidP="00C9533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Intramuscularly (IM), preferably into the deltoid muscle (upper arm).</w:t>
      </w:r>
    </w:p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95333" w:rsidRPr="00DC2A32" w:rsidRDefault="00C95333" w:rsidP="00C95333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Precautions</w:t>
      </w:r>
    </w:p>
    <w:p w:rsidR="00C95333" w:rsidRPr="00DC2A32" w:rsidRDefault="00C95333" w:rsidP="00C95333">
      <w:pPr>
        <w:numPr>
          <w:ilvl w:val="0"/>
          <w:numId w:val="18"/>
        </w:numPr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safety and effectiveness in pregnant women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has not been established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therefore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MENACTRA</w:t>
      </w:r>
      <w:r w:rsidR="00D1127A" w:rsidRPr="00D1127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should only be given to a pregnant woman if clearly needed.</w:t>
      </w:r>
    </w:p>
    <w:p w:rsidR="00C95333" w:rsidRPr="00DC2A32" w:rsidRDefault="00C95333" w:rsidP="00C95333">
      <w:pPr>
        <w:numPr>
          <w:ilvl w:val="0"/>
          <w:numId w:val="18"/>
        </w:numPr>
        <w:tabs>
          <w:tab w:val="clear" w:pos="360"/>
          <w:tab w:val="num" w:pos="720"/>
        </w:tabs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It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is not known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whether this drug is excreted in human milk.  Use caution in nursing mothers.</w:t>
      </w:r>
    </w:p>
    <w:p w:rsidR="00C95333" w:rsidRPr="00DC2A32" w:rsidRDefault="00C95333" w:rsidP="00C95333">
      <w:pPr>
        <w:numPr>
          <w:ilvl w:val="0"/>
          <w:numId w:val="18"/>
        </w:numPr>
        <w:tabs>
          <w:tab w:val="clear" w:pos="360"/>
          <w:tab w:val="num" w:pos="720"/>
        </w:tabs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The safety and effectiveness in adults 65 years of age and older has not been established.</w:t>
      </w:r>
    </w:p>
    <w:p w:rsidR="00C95333" w:rsidRPr="00DC2A32" w:rsidRDefault="00C95333" w:rsidP="00C953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Contraindications</w:t>
      </w:r>
    </w:p>
    <w:p w:rsidR="00C95333" w:rsidRPr="00DC2A32" w:rsidRDefault="00C95333" w:rsidP="00C9533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Individuals with anaphylactic reaction to previous dose of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diphtheria toxoid, or meningococcal-containing vaccine.  </w:t>
      </w:r>
    </w:p>
    <w:p w:rsidR="00C95333" w:rsidRPr="00DC2A32" w:rsidRDefault="00C95333" w:rsidP="00C9533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Contraindications and Precautions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can be found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package inserts available at:  </w:t>
      </w:r>
      <w:hyperlink r:id="rId8" w:anchor="mena" w:history="1">
        <w:r w:rsidRPr="00DC2A3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http://www.immunize.org/fda/#mena</w:t>
        </w:r>
      </w:hyperlink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keepNext/>
        <w:keepLines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Warnings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5333" w:rsidRPr="00DC2A32" w:rsidRDefault="00C95333" w:rsidP="00C95333">
      <w:pPr>
        <w:keepNext/>
        <w:keepLines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should not be administered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persons with any bleeding disorder, or persons receiving anticoagulant therapy, unless the potential benefit outweighs the risk of administration.</w:t>
      </w:r>
    </w:p>
    <w:p w:rsidR="00C95333" w:rsidRPr="00DC2A32" w:rsidRDefault="00C95333" w:rsidP="00C95333">
      <w:pPr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Syncope sometimes associated with temporary tonic-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clonic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movements and other seizure-like activity.  Observation for 15 minutes after administration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is recommended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95333" w:rsidRPr="00DC2A32" w:rsidRDefault="00C95333" w:rsidP="00C95333">
      <w:pPr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Safety and effectiveness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has not been established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pregnant women. </w:t>
      </w:r>
    </w:p>
    <w:p w:rsidR="00C95333" w:rsidRPr="00DC2A32" w:rsidRDefault="00C95333" w:rsidP="00C95333">
      <w:pPr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Immunocompromised individuals, including those receiving immunosuppressive therapy, may not receive the expected immune response.</w:t>
      </w:r>
    </w:p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95333" w:rsidRPr="00DC2A32" w:rsidRDefault="00C95333" w:rsidP="00C95333">
      <w:pPr>
        <w:keepNext/>
        <w:keepLines/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Adverse Events </w:t>
      </w:r>
    </w:p>
    <w:p w:rsidR="00C95333" w:rsidRPr="00DC2A32" w:rsidRDefault="00C95333" w:rsidP="00C9533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See the product’s package insert.</w:t>
      </w:r>
    </w:p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keepNext/>
        <w:keepLines/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Storage and Handling</w:t>
      </w:r>
    </w:p>
    <w:p w:rsidR="00C95333" w:rsidRPr="00DC2A32" w:rsidRDefault="00C95333" w:rsidP="00C95333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Store in refrigerator at 36°F – 46°F (2°C – 8°C).</w:t>
      </w:r>
    </w:p>
    <w:p w:rsidR="00C95333" w:rsidRPr="00DC2A32" w:rsidRDefault="00C95333" w:rsidP="00C95333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Vaccine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must be maintained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36°F to 46°F (2°C – 8°C) during transport.</w:t>
      </w:r>
    </w:p>
    <w:p w:rsidR="00C95333" w:rsidRPr="00DC2A32" w:rsidRDefault="00C95333" w:rsidP="00C95333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FREEZE.  Product that has been frozen or previously frozen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should not be used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333" w:rsidRPr="00DC2A32" w:rsidRDefault="00C95333" w:rsidP="00C95333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Protect from light.</w:t>
      </w:r>
    </w:p>
    <w:p w:rsidR="00C95333" w:rsidRPr="00DC2A32" w:rsidRDefault="00C95333" w:rsidP="00C95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use after the expiration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date.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reconstituted vaccine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used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immediately but may be held at or below 77°F (25°C) for up to 8 hours.</w:t>
      </w:r>
    </w:p>
    <w:p w:rsidR="00C95333" w:rsidRPr="00DC2A32" w:rsidRDefault="00C95333" w:rsidP="00C953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keepNext/>
        <w:keepLine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Other Important Notes </w:t>
      </w:r>
    </w:p>
    <w:p w:rsidR="00C95333" w:rsidRPr="00DC2A32" w:rsidRDefault="00C95333" w:rsidP="00C95333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duration of protection following immunization 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is not known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333" w:rsidRPr="00DC2A32" w:rsidRDefault="00C95333" w:rsidP="00C95333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not contain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thimerosal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other preservatives and does not contain an adjuvant.</w:t>
      </w:r>
    </w:p>
    <w:p w:rsidR="00C95333" w:rsidRPr="00DC2A32" w:rsidRDefault="00C95333" w:rsidP="00C95333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stopper to the </w:t>
      </w:r>
      <w:r w:rsidRPr="00C9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vial is synthetic rubber and does not contain latex.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br w:type="page"/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lastRenderedPageBreak/>
        <w:t>References</w:t>
      </w:r>
      <w:r w:rsidRPr="00DC2A3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MMWR “Recommendation for Use of Meningococcal Conjugate Vaccines in HIV-Infected Persons”, Advisory Committee on Immunization Practices (ACIP) (November 4, 2016)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hyperlink r:id="rId9" w:history="1">
        <w:r w:rsidRPr="00DC2A3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http://www.cdc.gov/mmwr/volumes/65/wr/mm6543a3.htm</w:t>
        </w:r>
      </w:hyperlink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VFC Resolution – 10/16-3, Vaccines to Prevent Meningococcal Disease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9F272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http;//www.cdc.gov/vaccines/programs/vfc/downloads/resolutions/2016-10-3-mening.pdf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Immunization Action Coalition (IAC), Meningococcal Vaccine Recommendations by Age and Risk Factor for </w:t>
      </w:r>
      <w:proofErr w:type="spell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Serogroups</w:t>
      </w:r>
      <w:proofErr w:type="spell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A, C, W, or Y Protection (12/16)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hyperlink r:id="rId10" w:history="1">
        <w:r w:rsidRPr="00714C71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http://www.immunize.org/catg.d/p2018.pdf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MMWR “Prevention and Control of Meningococcal Disease: Recommendations of the Advisory Committee on Immunization Practices (ACIP) (March 22, 2013</w:t>
      </w:r>
      <w:proofErr w:type="gramStart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  <w:proofErr w:type="gramEnd"/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hyperlink r:id="rId11" w:history="1">
        <w:r w:rsidRPr="00DC2A3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http://www.cdc.gov/mmwr/preview/mmwrhtml/rr6202a1.htm</w:t>
        </w:r>
      </w:hyperlink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Footnotes to the “Recommended Immunization Schedule for Children and Adolescents Aged 18 Years or Younger, UNITED STATES,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8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”:  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hyperlink r:id="rId12" w:history="1">
        <w:r w:rsidRPr="00DC2A3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https://www.cdc.gov/vaccines/schedules/downloads/child/0-18yrs-child-combined-schedule.pdf</w:t>
        </w:r>
      </w:hyperlink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>Footnotes to the “Recommended Immunization Schedule for Adults Aged 19 Years or Older, United States,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8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”:  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hyperlink r:id="rId13" w:history="1">
        <w:r w:rsidRPr="00DC2A3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http://www.cdc.gov/vaccines/schedules/downloads/adult/adult-combined-schedule.pdf</w:t>
        </w:r>
      </w:hyperlink>
      <w:r w:rsidRPr="00DC2A3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95333" w:rsidRPr="00DC2A32" w:rsidRDefault="00C95333" w:rsidP="00C95333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VFC Resolution – 10/201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Meningococcal </w:t>
      </w:r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history="1">
        <w:r w:rsidRPr="00DC2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http://www.cdc.gov/vaccines/programs/vfc/providers/resolutions.htm</w:t>
        </w:r>
      </w:hyperlink>
    </w:p>
    <w:p w:rsidR="00C95333" w:rsidRPr="00DC2A32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C95333" w:rsidRPr="000B10BA" w:rsidRDefault="00C95333" w:rsidP="00C9533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C2A32">
        <w:rPr>
          <w:rFonts w:ascii="Times New Roman" w:eastAsia="Times New Roman" w:hAnsi="Times New Roman" w:cs="Times New Roman"/>
          <w:color w:val="0000FF"/>
          <w:sz w:val="24"/>
          <w:szCs w:val="24"/>
        </w:rPr>
        <w:t>MENVEO</w:t>
      </w:r>
      <w:r w:rsidRPr="00C95333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®</w:t>
      </w:r>
      <w:r w:rsidRPr="00DC2A3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Package Insert (revised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 w:rsidRPr="00DC2A32">
        <w:rPr>
          <w:rFonts w:ascii="Times New Roman" w:eastAsia="Times New Roman" w:hAnsi="Times New Roman" w:cs="Times New Roman"/>
          <w:color w:val="0000FF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7</w:t>
      </w:r>
      <w:r w:rsidRPr="00DC2A3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):  </w:t>
      </w:r>
      <w:r w:rsidRPr="00DC2A32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A65334">
        <w:rPr>
          <w:rFonts w:ascii="Times New Roman" w:hAnsi="Times New Roman" w:cs="Times New Roman"/>
          <w:sz w:val="24"/>
          <w:szCs w:val="24"/>
        </w:rPr>
        <w:t>https://gsksource.com/pharma/content/dam/GlaxoSmithKline/US/en/Prescribing_Information/Menveo/pdf/MENVEO.PDF</w:t>
      </w:r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33" w:rsidRPr="00DC2A32" w:rsidRDefault="00C95333" w:rsidP="00C953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F63" w:rsidRDefault="00C95333" w:rsidP="00C95333">
      <w:r w:rsidRPr="00DC2A32">
        <w:rPr>
          <w:rFonts w:ascii="Times New Roman" w:eastAsia="Times New Roman" w:hAnsi="Times New Roman" w:cs="Times New Roman"/>
          <w:color w:val="000000"/>
          <w:sz w:val="24"/>
          <w:szCs w:val="24"/>
        </w:rPr>
        <w:t>Updated March 31, 2013, July 1, 2014, July1,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July 1, 2018</w:t>
      </w:r>
    </w:p>
    <w:sectPr w:rsidR="00F25F6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B2" w:rsidRDefault="00E528B2" w:rsidP="00C95333">
      <w:pPr>
        <w:spacing w:after="0" w:line="240" w:lineRule="auto"/>
      </w:pPr>
      <w:r>
        <w:separator/>
      </w:r>
    </w:p>
  </w:endnote>
  <w:endnote w:type="continuationSeparator" w:id="0">
    <w:p w:rsidR="00E528B2" w:rsidRDefault="00E528B2" w:rsidP="00C9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33" w:rsidRDefault="00C9533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C95333">
      <w:rPr>
        <w:rFonts w:ascii="Times New Roman" w:hAnsi="Times New Roman" w:cs="Times New Roman"/>
        <w:sz w:val="16"/>
        <w:szCs w:val="16"/>
      </w:rPr>
      <w:t xml:space="preserve">Page </w:t>
    </w:r>
    <w:r w:rsidRPr="00C95333">
      <w:rPr>
        <w:rFonts w:ascii="Times New Roman" w:hAnsi="Times New Roman" w:cs="Times New Roman"/>
        <w:sz w:val="16"/>
        <w:szCs w:val="16"/>
      </w:rPr>
      <w:fldChar w:fldCharType="begin"/>
    </w:r>
    <w:r w:rsidRPr="00C95333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C95333">
      <w:rPr>
        <w:rFonts w:ascii="Times New Roman" w:hAnsi="Times New Roman" w:cs="Times New Roman"/>
        <w:sz w:val="16"/>
        <w:szCs w:val="16"/>
      </w:rPr>
      <w:fldChar w:fldCharType="separate"/>
    </w:r>
    <w:r w:rsidR="00D1127A">
      <w:rPr>
        <w:rFonts w:ascii="Times New Roman" w:hAnsi="Times New Roman" w:cs="Times New Roman"/>
        <w:noProof/>
        <w:sz w:val="16"/>
        <w:szCs w:val="16"/>
      </w:rPr>
      <w:t>11</w:t>
    </w:r>
    <w:r w:rsidRPr="00C95333">
      <w:rPr>
        <w:rFonts w:ascii="Times New Roman" w:hAnsi="Times New Roman" w:cs="Times New Roman"/>
        <w:sz w:val="16"/>
        <w:szCs w:val="16"/>
      </w:rPr>
      <w:fldChar w:fldCharType="end"/>
    </w:r>
    <w:r w:rsidRPr="00C95333">
      <w:rPr>
        <w:rFonts w:ascii="Times New Roman" w:hAnsi="Times New Roman" w:cs="Times New Roman"/>
        <w:sz w:val="16"/>
        <w:szCs w:val="16"/>
      </w:rPr>
      <w:t xml:space="preserve"> of </w:t>
    </w:r>
    <w:r w:rsidRPr="00C95333">
      <w:rPr>
        <w:rFonts w:ascii="Times New Roman" w:hAnsi="Times New Roman" w:cs="Times New Roman"/>
        <w:sz w:val="16"/>
        <w:szCs w:val="16"/>
      </w:rPr>
      <w:fldChar w:fldCharType="begin"/>
    </w:r>
    <w:r w:rsidRPr="00C95333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C95333">
      <w:rPr>
        <w:rFonts w:ascii="Times New Roman" w:hAnsi="Times New Roman" w:cs="Times New Roman"/>
        <w:sz w:val="16"/>
        <w:szCs w:val="16"/>
      </w:rPr>
      <w:fldChar w:fldCharType="separate"/>
    </w:r>
    <w:r w:rsidR="00D1127A">
      <w:rPr>
        <w:rFonts w:ascii="Times New Roman" w:hAnsi="Times New Roman" w:cs="Times New Roman"/>
        <w:noProof/>
        <w:sz w:val="16"/>
        <w:szCs w:val="16"/>
      </w:rPr>
      <w:t>11</w:t>
    </w:r>
    <w:r w:rsidRPr="00C95333">
      <w:rPr>
        <w:rFonts w:ascii="Times New Roman" w:hAnsi="Times New Roman" w:cs="Times New Roman"/>
        <w:sz w:val="16"/>
        <w:szCs w:val="16"/>
      </w:rPr>
      <w:fldChar w:fldCharType="end"/>
    </w:r>
  </w:p>
  <w:p w:rsidR="00C95333" w:rsidRDefault="00C95333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Core Clinical Service Guide</w:t>
    </w:r>
  </w:p>
  <w:p w:rsidR="00C95333" w:rsidRDefault="00C95333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Section:  Immunizations – (U) – Meningococcal Conjugate Vaccine, </w:t>
    </w:r>
    <w:proofErr w:type="spellStart"/>
    <w:r>
      <w:rPr>
        <w:rFonts w:ascii="Times New Roman" w:hAnsi="Times New Roman" w:cs="Times New Roman"/>
        <w:sz w:val="16"/>
        <w:szCs w:val="16"/>
      </w:rPr>
      <w:t>MenACWY</w:t>
    </w:r>
    <w:proofErr w:type="spellEnd"/>
    <w:r>
      <w:rPr>
        <w:rFonts w:ascii="Times New Roman" w:hAnsi="Times New Roman" w:cs="Times New Roman"/>
        <w:sz w:val="16"/>
        <w:szCs w:val="16"/>
      </w:rPr>
      <w:t xml:space="preserve"> (MENVEO)</w:t>
    </w:r>
  </w:p>
  <w:p w:rsidR="00C95333" w:rsidRPr="00C95333" w:rsidRDefault="00C95333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July 1, 2018</w:t>
    </w:r>
  </w:p>
  <w:p w:rsidR="00C95333" w:rsidRDefault="00C9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B2" w:rsidRDefault="00E528B2" w:rsidP="00C95333">
      <w:pPr>
        <w:spacing w:after="0" w:line="240" w:lineRule="auto"/>
      </w:pPr>
      <w:r>
        <w:separator/>
      </w:r>
    </w:p>
  </w:footnote>
  <w:footnote w:type="continuationSeparator" w:id="0">
    <w:p w:rsidR="00E528B2" w:rsidRDefault="00E528B2" w:rsidP="00C9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7E2"/>
    <w:multiLevelType w:val="hybridMultilevel"/>
    <w:tmpl w:val="F3408E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B495E"/>
    <w:multiLevelType w:val="hybridMultilevel"/>
    <w:tmpl w:val="A1385CF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0C775D29"/>
    <w:multiLevelType w:val="hybridMultilevel"/>
    <w:tmpl w:val="4340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4E54"/>
    <w:multiLevelType w:val="hybridMultilevel"/>
    <w:tmpl w:val="62C0F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916"/>
    <w:multiLevelType w:val="singleLevel"/>
    <w:tmpl w:val="6374D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1441441C"/>
    <w:multiLevelType w:val="hybridMultilevel"/>
    <w:tmpl w:val="E51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4698"/>
    <w:multiLevelType w:val="hybridMultilevel"/>
    <w:tmpl w:val="D728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335B"/>
    <w:multiLevelType w:val="hybridMultilevel"/>
    <w:tmpl w:val="E90C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2886"/>
    <w:multiLevelType w:val="hybridMultilevel"/>
    <w:tmpl w:val="ABE282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F2706"/>
    <w:multiLevelType w:val="hybridMultilevel"/>
    <w:tmpl w:val="907C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190E"/>
    <w:multiLevelType w:val="hybridMultilevel"/>
    <w:tmpl w:val="96B29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2A4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BC5A10"/>
    <w:multiLevelType w:val="hybridMultilevel"/>
    <w:tmpl w:val="D6B43206"/>
    <w:lvl w:ilvl="0" w:tplc="B56A2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171E"/>
    <w:multiLevelType w:val="hybridMultilevel"/>
    <w:tmpl w:val="27CA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C7586"/>
    <w:multiLevelType w:val="hybridMultilevel"/>
    <w:tmpl w:val="1C70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733E3"/>
    <w:multiLevelType w:val="hybridMultilevel"/>
    <w:tmpl w:val="A71E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32E25"/>
    <w:multiLevelType w:val="hybridMultilevel"/>
    <w:tmpl w:val="F76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D404A"/>
    <w:multiLevelType w:val="hybridMultilevel"/>
    <w:tmpl w:val="15664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0319A"/>
    <w:multiLevelType w:val="hybridMultilevel"/>
    <w:tmpl w:val="8A0EE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41EAE"/>
    <w:multiLevelType w:val="hybridMultilevel"/>
    <w:tmpl w:val="43B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C174E"/>
    <w:multiLevelType w:val="hybridMultilevel"/>
    <w:tmpl w:val="5F48E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D533D"/>
    <w:multiLevelType w:val="hybridMultilevel"/>
    <w:tmpl w:val="A89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014A3"/>
    <w:multiLevelType w:val="hybridMultilevel"/>
    <w:tmpl w:val="C2BE8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B7AF8"/>
    <w:multiLevelType w:val="hybridMultilevel"/>
    <w:tmpl w:val="C2886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7176E"/>
    <w:multiLevelType w:val="hybridMultilevel"/>
    <w:tmpl w:val="3CB20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239E7"/>
    <w:multiLevelType w:val="hybridMultilevel"/>
    <w:tmpl w:val="F6A8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F3841"/>
    <w:multiLevelType w:val="hybridMultilevel"/>
    <w:tmpl w:val="751C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8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4"/>
  </w:num>
  <w:num w:numId="4">
    <w:abstractNumId w:val="23"/>
  </w:num>
  <w:num w:numId="5">
    <w:abstractNumId w:val="14"/>
  </w:num>
  <w:num w:numId="6">
    <w:abstractNumId w:val="15"/>
  </w:num>
  <w:num w:numId="7">
    <w:abstractNumId w:val="5"/>
  </w:num>
  <w:num w:numId="8">
    <w:abstractNumId w:val="16"/>
  </w:num>
  <w:num w:numId="9">
    <w:abstractNumId w:val="21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  <w:num w:numId="16">
    <w:abstractNumId w:val="22"/>
  </w:num>
  <w:num w:numId="17">
    <w:abstractNumId w:val="20"/>
  </w:num>
  <w:num w:numId="18">
    <w:abstractNumId w:val="11"/>
  </w:num>
  <w:num w:numId="19">
    <w:abstractNumId w:val="19"/>
  </w:num>
  <w:num w:numId="20">
    <w:abstractNumId w:val="17"/>
  </w:num>
  <w:num w:numId="21">
    <w:abstractNumId w:val="25"/>
  </w:num>
  <w:num w:numId="22">
    <w:abstractNumId w:val="7"/>
  </w:num>
  <w:num w:numId="23">
    <w:abstractNumId w:val="13"/>
  </w:num>
  <w:num w:numId="24">
    <w:abstractNumId w:val="9"/>
  </w:num>
  <w:num w:numId="25">
    <w:abstractNumId w:val="12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5E"/>
    <w:rsid w:val="00C95333"/>
    <w:rsid w:val="00D1127A"/>
    <w:rsid w:val="00E528B2"/>
    <w:rsid w:val="00F25F63"/>
    <w:rsid w:val="00F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60C0"/>
  <w15:chartTrackingRefBased/>
  <w15:docId w15:val="{52445171-D425-494D-BCE9-C7D9B0F6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33"/>
  </w:style>
  <w:style w:type="paragraph" w:styleId="Footer">
    <w:name w:val="footer"/>
    <w:basedOn w:val="Normal"/>
    <w:link w:val="FooterChar"/>
    <w:uiPriority w:val="99"/>
    <w:unhideWhenUsed/>
    <w:rsid w:val="00C95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.org/fda/" TargetMode="External"/><Relationship Id="rId13" Type="http://schemas.openxmlformats.org/officeDocument/2006/relationships/hyperlink" Target="http://www.cdc.gov/vaccines/schedules/downloads/adult/adult-combined-schedule.pd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dc.gov/vaccines/programs/vfc/downloads/resolutions/1013-mening-mcv.pdf" TargetMode="External"/><Relationship Id="rId12" Type="http://schemas.openxmlformats.org/officeDocument/2006/relationships/hyperlink" Target="https://www.cdc.gov/vaccines/schedules/downloads/child/0-18yrs-child-combined-schedul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mmwr/preview/mmwrhtml/rr6202a1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mmunize.org/catg.d/p2018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mmwr/volumes/65/wr/mm6543a3.htm" TargetMode="External"/><Relationship Id="rId14" Type="http://schemas.openxmlformats.org/officeDocument/2006/relationships/hyperlink" Target="http://www.cdc.gov/vaccines/programs/vfc/providers/resolu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4AB7928A-4233-48FA-BB80-56B8F9C2A9DB}"/>
</file>

<file path=customXml/itemProps2.xml><?xml version="1.0" encoding="utf-8"?>
<ds:datastoreItem xmlns:ds="http://schemas.openxmlformats.org/officeDocument/2006/customXml" ds:itemID="{65E85ABB-4C63-4DC4-8344-F5BC19930281}"/>
</file>

<file path=customXml/itemProps3.xml><?xml version="1.0" encoding="utf-8"?>
<ds:datastoreItem xmlns:ds="http://schemas.openxmlformats.org/officeDocument/2006/customXml" ds:itemID="{D5F17FBE-F202-4AFF-829F-4C0429B0B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3287</Words>
  <Characters>18742</Characters>
  <Application>Microsoft Office Word</Application>
  <DocSecurity>0</DocSecurity>
  <Lines>156</Lines>
  <Paragraphs>43</Paragraphs>
  <ScaleCrop>false</ScaleCrop>
  <Company>Commonwealth of Kentucky</Company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(U) - MenACWY-CRM (MENVEO)</dc:title>
  <dc:subject/>
  <dc:creator>Cunningham, Troi (CHFS PH EPI)</dc:creator>
  <cp:keywords/>
  <dc:description/>
  <cp:lastModifiedBy>Cunningham, Troi (CHFS PH EPI)</cp:lastModifiedBy>
  <cp:revision>3</cp:revision>
  <dcterms:created xsi:type="dcterms:W3CDTF">2018-06-29T18:24:00Z</dcterms:created>
  <dcterms:modified xsi:type="dcterms:W3CDTF">2018-06-29T18:43:00Z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