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FF" w:rsidRPr="002D3E3D" w:rsidRDefault="00E53CFF" w:rsidP="00E53CFF">
      <w:pPr>
        <w:autoSpaceDE w:val="0"/>
        <w:autoSpaceDN w:val="0"/>
        <w:adjustRightInd w:val="0"/>
        <w:jc w:val="center"/>
        <w:rPr>
          <w:b/>
          <w:sz w:val="28"/>
        </w:rPr>
      </w:pPr>
      <w:r w:rsidRPr="002D3E3D">
        <w:rPr>
          <w:b/>
          <w:sz w:val="28"/>
        </w:rPr>
        <w:t xml:space="preserve">Rotavirus </w:t>
      </w:r>
      <w:r w:rsidRPr="002D3E3D">
        <w:rPr>
          <w:rFonts w:ascii="Times New Roman Bold" w:hAnsi="Times New Roman Bold"/>
          <w:b/>
          <w:sz w:val="28"/>
          <w:szCs w:val="28"/>
        </w:rPr>
        <w:t>(RV1)</w:t>
      </w:r>
      <w:r w:rsidRPr="002D3E3D">
        <w:rPr>
          <w:b/>
          <w:sz w:val="28"/>
        </w:rPr>
        <w:t xml:space="preserve"> Vaccine, Live, Oral, ROTARIX</w:t>
      </w:r>
      <w:r w:rsidRPr="002D3E3D">
        <w:rPr>
          <w:b/>
          <w:sz w:val="28"/>
          <w:szCs w:val="28"/>
          <w:vertAlign w:val="superscript"/>
        </w:rPr>
        <w:t>®</w:t>
      </w:r>
    </w:p>
    <w:p w:rsidR="00E53CFF" w:rsidRPr="002D3E3D" w:rsidRDefault="00E53CFF" w:rsidP="00E53CFF">
      <w:pPr>
        <w:autoSpaceDE w:val="0"/>
        <w:autoSpaceDN w:val="0"/>
        <w:adjustRightInd w:val="0"/>
      </w:pPr>
    </w:p>
    <w:p w:rsidR="00E53CFF" w:rsidRPr="0074546F" w:rsidRDefault="00E53CFF" w:rsidP="00E53CFF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74546F">
        <w:rPr>
          <w:b/>
          <w:u w:val="single"/>
        </w:rPr>
        <w:t>Precautions and Contraindications</w:t>
      </w:r>
    </w:p>
    <w:p w:rsidR="00E53CFF" w:rsidRPr="0074546F" w:rsidRDefault="00E53CFF" w:rsidP="00E53CFF">
      <w:pPr>
        <w:autoSpaceDE w:val="0"/>
        <w:autoSpaceDN w:val="0"/>
        <w:adjustRightInd w:val="0"/>
        <w:spacing w:after="120"/>
      </w:pPr>
      <w:r w:rsidRPr="0074546F">
        <w:t>Screen all patients for precautions and contraindications to immunization.</w:t>
      </w:r>
    </w:p>
    <w:p w:rsidR="00E53CFF" w:rsidRPr="0074546F" w:rsidRDefault="00E53CFF" w:rsidP="00E53CFF">
      <w:pPr>
        <w:widowControl w:val="0"/>
        <w:rPr>
          <w:b/>
          <w:bCs/>
        </w:rPr>
      </w:pPr>
    </w:p>
    <w:p w:rsidR="00E53CFF" w:rsidRPr="00DD520E" w:rsidRDefault="00E53CFF" w:rsidP="00E53CFF">
      <w:pPr>
        <w:autoSpaceDE w:val="0"/>
        <w:autoSpaceDN w:val="0"/>
        <w:adjustRightInd w:val="0"/>
        <w:rPr>
          <w:szCs w:val="24"/>
        </w:rPr>
      </w:pPr>
      <w:r w:rsidRPr="00DD520E">
        <w:rPr>
          <w:b/>
          <w:szCs w:val="24"/>
          <w:u w:val="single"/>
        </w:rPr>
        <w:t>Indications and Usage</w:t>
      </w:r>
      <w:r w:rsidRPr="00DD520E">
        <w:rPr>
          <w:b/>
          <w:szCs w:val="24"/>
        </w:rPr>
        <w:t>:</w:t>
      </w:r>
      <w:r w:rsidRPr="00DD520E">
        <w:rPr>
          <w:szCs w:val="24"/>
        </w:rPr>
        <w:t xml:space="preserve">  </w:t>
      </w:r>
      <w:r w:rsidRPr="00E53CFF">
        <w:rPr>
          <w:b/>
          <w:szCs w:val="24"/>
        </w:rPr>
        <w:t>ROTARIX</w:t>
      </w:r>
      <w:r w:rsidRPr="00DD520E">
        <w:rPr>
          <w:position w:val="8"/>
          <w:szCs w:val="24"/>
        </w:rPr>
        <w:sym w:font="Symbol" w:char="F0E2"/>
      </w:r>
      <w:r w:rsidRPr="00DD520E">
        <w:rPr>
          <w:szCs w:val="24"/>
        </w:rPr>
        <w:t xml:space="preserve"> is a vaccine indicated for the prevention of rotavirus gastroenteritis caused by G1 and non-G1 types (G3, G4, and G9) in infants and children.</w:t>
      </w:r>
    </w:p>
    <w:p w:rsidR="00E53CFF" w:rsidRPr="00DD520E" w:rsidRDefault="00E53CFF" w:rsidP="00E53CFF">
      <w:pPr>
        <w:autoSpaceDE w:val="0"/>
        <w:autoSpaceDN w:val="0"/>
        <w:adjustRightInd w:val="0"/>
        <w:rPr>
          <w:szCs w:val="24"/>
        </w:rPr>
      </w:pPr>
    </w:p>
    <w:p w:rsidR="00E53CFF" w:rsidRPr="00DD520E" w:rsidRDefault="00E53CFF" w:rsidP="00E53CFF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DD520E">
        <w:rPr>
          <w:b/>
          <w:szCs w:val="24"/>
          <w:u w:val="single"/>
        </w:rPr>
        <w:t>Recommended Schedule</w:t>
      </w:r>
    </w:p>
    <w:p w:rsidR="00E53CFF" w:rsidRPr="00DD520E" w:rsidRDefault="00E53CFF" w:rsidP="00E53CF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t>The vaccination series consists of two 1-mL doses administered orally at 6 to 24 weeks of age.  There should be an interval of at least 4 weeks between the first and second doses.</w:t>
      </w:r>
    </w:p>
    <w:p w:rsidR="00E53CFF" w:rsidRPr="002D3E3D" w:rsidRDefault="00E53CFF" w:rsidP="00E53CFF">
      <w:pPr>
        <w:numPr>
          <w:ilvl w:val="0"/>
          <w:numId w:val="1"/>
        </w:numPr>
        <w:autoSpaceDE w:val="0"/>
        <w:autoSpaceDN w:val="0"/>
        <w:adjustRightInd w:val="0"/>
      </w:pPr>
      <w:r w:rsidRPr="00DD520E">
        <w:rPr>
          <w:szCs w:val="24"/>
        </w:rPr>
        <w:t>Maximum age for the first dose is 14 weeks 6 days.</w:t>
      </w:r>
      <w:r w:rsidRPr="00DD520E">
        <w:rPr>
          <w:szCs w:val="24"/>
        </w:rPr>
        <w:br/>
      </w:r>
      <w:r w:rsidRPr="002D3E3D">
        <w:t xml:space="preserve"> </w:t>
      </w:r>
    </w:p>
    <w:p w:rsidR="00E53CFF" w:rsidRPr="00DD520E" w:rsidRDefault="00E53CFF" w:rsidP="00E53CFF">
      <w:pPr>
        <w:autoSpaceDE w:val="0"/>
        <w:autoSpaceDN w:val="0"/>
        <w:adjustRightInd w:val="0"/>
        <w:spacing w:after="120"/>
        <w:rPr>
          <w:b/>
          <w:szCs w:val="24"/>
        </w:rPr>
      </w:pPr>
      <w:r w:rsidRPr="00DD520E">
        <w:rPr>
          <w:b/>
          <w:szCs w:val="24"/>
          <w:u w:val="single"/>
        </w:rPr>
        <w:t>Dosage and Route</w:t>
      </w:r>
      <w:r w:rsidRPr="00DD520E">
        <w:rPr>
          <w:b/>
          <w:szCs w:val="24"/>
        </w:rPr>
        <w:tab/>
        <w:t>FOR ORAL USE ONLY.  DO NOT INJECT.</w:t>
      </w:r>
    </w:p>
    <w:p w:rsidR="00E53CFF" w:rsidRPr="00DD520E" w:rsidRDefault="00E53CFF" w:rsidP="00E53CFF">
      <w:pPr>
        <w:autoSpaceDE w:val="0"/>
        <w:autoSpaceDN w:val="0"/>
        <w:adjustRightInd w:val="0"/>
        <w:ind w:firstLine="360"/>
        <w:rPr>
          <w:szCs w:val="24"/>
        </w:rPr>
      </w:pPr>
      <w:r w:rsidRPr="00DD520E">
        <w:rPr>
          <w:szCs w:val="24"/>
        </w:rPr>
        <w:t>To administer the vaccine:</w:t>
      </w:r>
    </w:p>
    <w:p w:rsidR="00E53CFF" w:rsidRPr="00DD520E" w:rsidRDefault="00E53CFF" w:rsidP="00E53CF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t>Remove plastic cover from vial of lyophilized vaccine.</w:t>
      </w:r>
    </w:p>
    <w:p w:rsidR="00E53CFF" w:rsidRPr="00DD520E" w:rsidRDefault="00E53CFF" w:rsidP="00E53CF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t>Connect transfer adapter onto vial by pushing it downwards until the transfer adapter is properly and securely in place.</w:t>
      </w:r>
    </w:p>
    <w:p w:rsidR="00E53CFF" w:rsidRPr="00DD520E" w:rsidRDefault="00E53CFF" w:rsidP="00E53CF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t>Shake the oral applicator containing the liquid diluent vigorously.  The shaken suspension will appear as a turbid liquid with a slow settling white deposit.</w:t>
      </w:r>
    </w:p>
    <w:p w:rsidR="00E53CFF" w:rsidRPr="00DD520E" w:rsidRDefault="00E53CFF" w:rsidP="00E53CF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t>Remove the protective tip cap from the oral applicator.</w:t>
      </w:r>
    </w:p>
    <w:p w:rsidR="00E53CFF" w:rsidRPr="00DD520E" w:rsidRDefault="00E53CFF" w:rsidP="00E53CF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t>Connect the oral applicator into the transfer adapter by pushing it firmly on the device.</w:t>
      </w:r>
    </w:p>
    <w:p w:rsidR="00E53CFF" w:rsidRPr="00DD520E" w:rsidRDefault="00E53CFF" w:rsidP="00E53CF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t>Transfer the entire content of the oral applicator into the vial of lyophilized vaccine.</w:t>
      </w:r>
    </w:p>
    <w:p w:rsidR="00E53CFF" w:rsidRPr="00DD520E" w:rsidRDefault="00E53CFF" w:rsidP="00E53CF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t>With the oral applicator still attached, shake the vial and examine for complete suspension.  The reconstituted vaccine will appear more turbid than the diluent alone.  This appearance is normal.</w:t>
      </w:r>
    </w:p>
    <w:p w:rsidR="00E53CFF" w:rsidRPr="00DD520E" w:rsidRDefault="00E53CFF" w:rsidP="00E53CF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t>Withdraw the entire mixture back into the oral applicator.</w:t>
      </w:r>
    </w:p>
    <w:p w:rsidR="00E53CFF" w:rsidRPr="00DD520E" w:rsidRDefault="00E53CFF" w:rsidP="00E53CF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t xml:space="preserve">The infant </w:t>
      </w:r>
      <w:proofErr w:type="gramStart"/>
      <w:r w:rsidRPr="00DD520E">
        <w:rPr>
          <w:szCs w:val="24"/>
        </w:rPr>
        <w:t>should be seated</w:t>
      </w:r>
      <w:proofErr w:type="gramEnd"/>
      <w:r w:rsidRPr="00DD520E">
        <w:rPr>
          <w:szCs w:val="24"/>
        </w:rPr>
        <w:t xml:space="preserve"> in a reclining position.  Administer orally the entire content of the oral applicator (on the inside of the cheek).  Dispose of applicator and vaccine vial in biohazard waste container.</w:t>
      </w:r>
    </w:p>
    <w:p w:rsidR="00E53CFF" w:rsidRPr="00DD520E" w:rsidRDefault="00E53CFF" w:rsidP="00E53CFF">
      <w:pPr>
        <w:autoSpaceDE w:val="0"/>
        <w:autoSpaceDN w:val="0"/>
        <w:adjustRightInd w:val="0"/>
        <w:ind w:left="360"/>
        <w:rPr>
          <w:szCs w:val="24"/>
        </w:rPr>
      </w:pPr>
    </w:p>
    <w:p w:rsidR="00E53CFF" w:rsidRPr="00DD520E" w:rsidRDefault="00E53CFF" w:rsidP="00E53CFF">
      <w:pPr>
        <w:tabs>
          <w:tab w:val="left" w:pos="3780"/>
        </w:tabs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DD520E">
        <w:rPr>
          <w:b/>
          <w:szCs w:val="24"/>
          <w:u w:val="single"/>
        </w:rPr>
        <w:t xml:space="preserve">Anatomical Site </w:t>
      </w:r>
    </w:p>
    <w:p w:rsidR="00E53CFF" w:rsidRPr="00DD520E" w:rsidRDefault="00E53CFF" w:rsidP="00E53CFF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szCs w:val="24"/>
        </w:rPr>
      </w:pPr>
      <w:r w:rsidRPr="00DD520E">
        <w:rPr>
          <w:szCs w:val="24"/>
        </w:rPr>
        <w:t>Mouth/inner cheek</w:t>
      </w:r>
    </w:p>
    <w:p w:rsidR="00E53CFF" w:rsidRPr="00DD520E" w:rsidRDefault="00E53CFF" w:rsidP="00E53CFF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DD520E">
        <w:rPr>
          <w:b/>
          <w:szCs w:val="24"/>
          <w:u w:val="single"/>
        </w:rPr>
        <w:t>Precautions</w:t>
      </w:r>
    </w:p>
    <w:p w:rsidR="00E53CFF" w:rsidRPr="00DD520E" w:rsidRDefault="00E53CFF" w:rsidP="00E53CFF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DD520E">
        <w:rPr>
          <w:bCs/>
          <w:szCs w:val="24"/>
        </w:rPr>
        <w:t xml:space="preserve">Prior to administering the vaccine, review infant immunization history for hypersensitivity and other reactions to any component of </w:t>
      </w:r>
      <w:r w:rsidRPr="00E53CFF">
        <w:rPr>
          <w:b/>
          <w:bCs/>
          <w:szCs w:val="24"/>
        </w:rPr>
        <w:t>ROTARIX</w:t>
      </w:r>
      <w:r w:rsidRPr="00DD520E">
        <w:rPr>
          <w:position w:val="8"/>
          <w:szCs w:val="24"/>
        </w:rPr>
        <w:sym w:font="Symbol" w:char="F0E2"/>
      </w:r>
      <w:r w:rsidRPr="00DD520E">
        <w:rPr>
          <w:bCs/>
          <w:szCs w:val="24"/>
        </w:rPr>
        <w:t>, including latex rubber contained in the oral applicator.</w:t>
      </w:r>
    </w:p>
    <w:p w:rsidR="00E53CFF" w:rsidRPr="00DD520E" w:rsidRDefault="00E53CFF" w:rsidP="00E53CFF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t xml:space="preserve">Administration of </w:t>
      </w:r>
      <w:r w:rsidRPr="00E53CFF">
        <w:rPr>
          <w:b/>
          <w:szCs w:val="24"/>
        </w:rPr>
        <w:t>ROTARIX</w:t>
      </w:r>
      <w:r w:rsidRPr="00DD520E">
        <w:rPr>
          <w:position w:val="8"/>
          <w:szCs w:val="24"/>
        </w:rPr>
        <w:sym w:font="Symbol" w:char="F0E2"/>
      </w:r>
      <w:r w:rsidRPr="00DD520E">
        <w:rPr>
          <w:szCs w:val="24"/>
        </w:rPr>
        <w:t xml:space="preserve"> </w:t>
      </w:r>
      <w:proofErr w:type="gramStart"/>
      <w:r w:rsidRPr="00DD520E">
        <w:rPr>
          <w:szCs w:val="24"/>
        </w:rPr>
        <w:t>should be delayed</w:t>
      </w:r>
      <w:proofErr w:type="gramEnd"/>
      <w:r w:rsidRPr="00DD520E">
        <w:rPr>
          <w:szCs w:val="24"/>
        </w:rPr>
        <w:t xml:space="preserve"> in infants suffering from acute diarrhea or vomiting.</w:t>
      </w:r>
    </w:p>
    <w:p w:rsidR="00E53CFF" w:rsidRPr="00DD520E" w:rsidRDefault="00E53CFF" w:rsidP="00E53CFF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lastRenderedPageBreak/>
        <w:t xml:space="preserve">An increased risk of intussusception following administration of </w:t>
      </w:r>
      <w:r w:rsidRPr="00E53CFF">
        <w:rPr>
          <w:b/>
          <w:szCs w:val="24"/>
        </w:rPr>
        <w:t>ROTARIX</w:t>
      </w:r>
      <w:r w:rsidRPr="00DD520E">
        <w:rPr>
          <w:position w:val="8"/>
          <w:szCs w:val="24"/>
        </w:rPr>
        <w:sym w:font="Symbol" w:char="F0E2"/>
      </w:r>
      <w:proofErr w:type="gramStart"/>
      <w:r w:rsidRPr="00DD520E">
        <w:rPr>
          <w:szCs w:val="24"/>
        </w:rPr>
        <w:t>was observed</w:t>
      </w:r>
      <w:proofErr w:type="gramEnd"/>
      <w:r w:rsidRPr="00DD520E">
        <w:rPr>
          <w:szCs w:val="24"/>
        </w:rPr>
        <w:t xml:space="preserve"> in some, but not all, </w:t>
      </w:r>
      <w:proofErr w:type="spellStart"/>
      <w:r w:rsidRPr="00DD520E">
        <w:rPr>
          <w:szCs w:val="24"/>
        </w:rPr>
        <w:t>postmarketing</w:t>
      </w:r>
      <w:proofErr w:type="spellEnd"/>
      <w:r w:rsidRPr="00DD520E">
        <w:rPr>
          <w:szCs w:val="24"/>
        </w:rPr>
        <w:t xml:space="preserve"> studies, particularly during the first week following the first dose of vaccine.</w:t>
      </w:r>
    </w:p>
    <w:p w:rsidR="00E53CFF" w:rsidRPr="00DD520E" w:rsidRDefault="00E53CFF" w:rsidP="00E53CFF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t xml:space="preserve">Since </w:t>
      </w:r>
      <w:r w:rsidRPr="00E53CFF">
        <w:rPr>
          <w:b/>
          <w:szCs w:val="24"/>
        </w:rPr>
        <w:t>ROTARIX</w:t>
      </w:r>
      <w:r w:rsidRPr="00DD520E">
        <w:rPr>
          <w:position w:val="8"/>
          <w:szCs w:val="24"/>
        </w:rPr>
        <w:sym w:font="Symbol" w:char="F0E2"/>
      </w:r>
      <w:r w:rsidRPr="00DD520E">
        <w:rPr>
          <w:szCs w:val="24"/>
        </w:rPr>
        <w:t xml:space="preserve"> is a live virus, safety and effectiveness in infants with known primary or secondary </w:t>
      </w:r>
      <w:proofErr w:type="spellStart"/>
      <w:r w:rsidRPr="00DD520E">
        <w:rPr>
          <w:szCs w:val="24"/>
        </w:rPr>
        <w:t>immunodeficiencies</w:t>
      </w:r>
      <w:proofErr w:type="spellEnd"/>
      <w:r w:rsidRPr="00DD520E">
        <w:rPr>
          <w:szCs w:val="24"/>
        </w:rPr>
        <w:t xml:space="preserve"> </w:t>
      </w:r>
      <w:proofErr w:type="gramStart"/>
      <w:r w:rsidRPr="00DD520E">
        <w:rPr>
          <w:szCs w:val="24"/>
        </w:rPr>
        <w:t>have not been evaluated</w:t>
      </w:r>
      <w:proofErr w:type="gramEnd"/>
      <w:r w:rsidRPr="00DD520E">
        <w:rPr>
          <w:szCs w:val="24"/>
        </w:rPr>
        <w:t>.</w:t>
      </w:r>
    </w:p>
    <w:p w:rsidR="00E53CFF" w:rsidRPr="00DD520E" w:rsidRDefault="00E53CFF" w:rsidP="00E53CFF">
      <w:pPr>
        <w:autoSpaceDE w:val="0"/>
        <w:autoSpaceDN w:val="0"/>
        <w:adjustRightInd w:val="0"/>
        <w:rPr>
          <w:b/>
          <w:szCs w:val="24"/>
          <w:u w:val="single"/>
        </w:rPr>
      </w:pPr>
    </w:p>
    <w:p w:rsidR="00E53CFF" w:rsidRPr="00DD520E" w:rsidRDefault="00E53CFF" w:rsidP="00E53CFF">
      <w:pPr>
        <w:autoSpaceDE w:val="0"/>
        <w:autoSpaceDN w:val="0"/>
        <w:adjustRightInd w:val="0"/>
        <w:rPr>
          <w:b/>
          <w:szCs w:val="24"/>
          <w:u w:val="single"/>
        </w:rPr>
      </w:pPr>
      <w:r w:rsidRPr="00DD520E">
        <w:rPr>
          <w:b/>
          <w:szCs w:val="24"/>
          <w:u w:val="single"/>
        </w:rPr>
        <w:t>Contraindications</w:t>
      </w:r>
    </w:p>
    <w:p w:rsidR="00E53CFF" w:rsidRPr="00DD520E" w:rsidRDefault="00E53CFF" w:rsidP="00E53CFF">
      <w:pPr>
        <w:autoSpaceDE w:val="0"/>
        <w:autoSpaceDN w:val="0"/>
        <w:adjustRightInd w:val="0"/>
        <w:rPr>
          <w:b/>
          <w:szCs w:val="24"/>
          <w:u w:val="single"/>
        </w:rPr>
      </w:pPr>
    </w:p>
    <w:p w:rsidR="00E53CFF" w:rsidRPr="00DD520E" w:rsidRDefault="00E53CFF" w:rsidP="00E53CFF">
      <w:pPr>
        <w:autoSpaceDE w:val="0"/>
        <w:autoSpaceDN w:val="0"/>
        <w:adjustRightInd w:val="0"/>
        <w:rPr>
          <w:szCs w:val="24"/>
        </w:rPr>
      </w:pPr>
      <w:r w:rsidRPr="00DD520E">
        <w:rPr>
          <w:b/>
          <w:szCs w:val="24"/>
        </w:rPr>
        <w:t>DO NOT</w:t>
      </w:r>
      <w:r w:rsidRPr="00DD520E">
        <w:rPr>
          <w:szCs w:val="24"/>
        </w:rPr>
        <w:t xml:space="preserve"> administer to infants:</w:t>
      </w:r>
    </w:p>
    <w:p w:rsidR="00E53CFF" w:rsidRPr="00DD520E" w:rsidRDefault="00E53CFF" w:rsidP="00E53CFF">
      <w:pPr>
        <w:autoSpaceDE w:val="0"/>
        <w:autoSpaceDN w:val="0"/>
        <w:adjustRightInd w:val="0"/>
        <w:ind w:firstLine="360"/>
        <w:rPr>
          <w:szCs w:val="24"/>
        </w:rPr>
      </w:pPr>
    </w:p>
    <w:p w:rsidR="00E53CFF" w:rsidRPr="00DD520E" w:rsidRDefault="00E53CFF" w:rsidP="00E53CFF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 w:rsidRPr="00DD520E">
        <w:rPr>
          <w:szCs w:val="24"/>
        </w:rPr>
        <w:t>With a history of severe allergic reaction (e.g. anaphylaxis) after a previous dose of rotavirus vaccine or exposure to a vaccine component.</w:t>
      </w:r>
    </w:p>
    <w:p w:rsidR="00E53CFF" w:rsidRPr="00DD520E" w:rsidRDefault="00E53CFF" w:rsidP="00E53CFF">
      <w:pPr>
        <w:numPr>
          <w:ilvl w:val="0"/>
          <w:numId w:val="6"/>
        </w:numPr>
        <w:tabs>
          <w:tab w:val="left" w:pos="720"/>
          <w:tab w:val="left" w:pos="9360"/>
        </w:tabs>
        <w:autoSpaceDE w:val="0"/>
        <w:autoSpaceDN w:val="0"/>
        <w:adjustRightInd w:val="0"/>
        <w:jc w:val="both"/>
        <w:rPr>
          <w:szCs w:val="24"/>
        </w:rPr>
      </w:pPr>
      <w:r w:rsidRPr="00DD520E">
        <w:rPr>
          <w:szCs w:val="24"/>
        </w:rPr>
        <w:t>With a history of uncorrected congenital malformation of the gastrointestinal tract (such as Meckel’s diverticulum) that would predispose the infant for intussusception.</w:t>
      </w:r>
    </w:p>
    <w:p w:rsidR="00E53CFF" w:rsidRPr="00DD520E" w:rsidRDefault="00E53CFF" w:rsidP="00E53CFF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right="1620"/>
        <w:jc w:val="both"/>
        <w:rPr>
          <w:szCs w:val="24"/>
        </w:rPr>
      </w:pPr>
      <w:r w:rsidRPr="00DD520E">
        <w:rPr>
          <w:szCs w:val="24"/>
        </w:rPr>
        <w:t xml:space="preserve">With a history of intussusception.  </w:t>
      </w:r>
    </w:p>
    <w:p w:rsidR="00E53CFF" w:rsidRPr="00DD520E" w:rsidRDefault="00E53CFF" w:rsidP="00E53CFF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right="1620"/>
        <w:jc w:val="both"/>
        <w:rPr>
          <w:szCs w:val="24"/>
        </w:rPr>
      </w:pPr>
      <w:r w:rsidRPr="00DD520E">
        <w:rPr>
          <w:szCs w:val="24"/>
        </w:rPr>
        <w:t xml:space="preserve">With Severe Combined Immunodeficiency Disease (SCID).  </w:t>
      </w:r>
    </w:p>
    <w:p w:rsidR="00E53CFF" w:rsidRPr="00DD520E" w:rsidRDefault="00E53CFF" w:rsidP="00E53CFF">
      <w:pPr>
        <w:tabs>
          <w:tab w:val="left" w:pos="720"/>
        </w:tabs>
        <w:autoSpaceDE w:val="0"/>
        <w:autoSpaceDN w:val="0"/>
        <w:adjustRightInd w:val="0"/>
        <w:ind w:left="360"/>
        <w:rPr>
          <w:b/>
          <w:szCs w:val="24"/>
          <w:u w:val="single"/>
        </w:rPr>
      </w:pPr>
    </w:p>
    <w:p w:rsidR="00E53CFF" w:rsidRPr="00DD520E" w:rsidRDefault="00E53CFF" w:rsidP="00E53CFF">
      <w:pPr>
        <w:autoSpaceDE w:val="0"/>
        <w:autoSpaceDN w:val="0"/>
        <w:adjustRightInd w:val="0"/>
        <w:rPr>
          <w:b/>
          <w:szCs w:val="24"/>
          <w:u w:val="single"/>
        </w:rPr>
      </w:pPr>
      <w:r w:rsidRPr="00DD520E">
        <w:rPr>
          <w:b/>
          <w:szCs w:val="24"/>
          <w:u w:val="single"/>
        </w:rPr>
        <w:t>Adverse Events</w:t>
      </w:r>
    </w:p>
    <w:p w:rsidR="00E53CFF" w:rsidRPr="00DD520E" w:rsidRDefault="00E53CFF" w:rsidP="00E53CFF">
      <w:pPr>
        <w:autoSpaceDE w:val="0"/>
        <w:autoSpaceDN w:val="0"/>
        <w:adjustRightInd w:val="0"/>
        <w:rPr>
          <w:szCs w:val="24"/>
        </w:rPr>
      </w:pPr>
      <w:r w:rsidRPr="00DD520E">
        <w:rPr>
          <w:b/>
          <w:szCs w:val="24"/>
          <w:u w:val="single"/>
        </w:rPr>
        <w:t xml:space="preserve"> </w:t>
      </w:r>
    </w:p>
    <w:p w:rsidR="00E53CFF" w:rsidRPr="00DD520E" w:rsidRDefault="00E53CFF" w:rsidP="00E53CF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/>
          <w:szCs w:val="24"/>
          <w:u w:val="single"/>
        </w:rPr>
      </w:pPr>
      <w:r w:rsidRPr="00DD520E">
        <w:rPr>
          <w:szCs w:val="24"/>
        </w:rPr>
        <w:t>See the product’s package insert</w:t>
      </w:r>
    </w:p>
    <w:p w:rsidR="00E53CFF" w:rsidRPr="00DD520E" w:rsidRDefault="00E53CFF" w:rsidP="00E53CF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t>See Adverse Events Following Vaccinations page of this section</w:t>
      </w:r>
    </w:p>
    <w:p w:rsidR="00E53CFF" w:rsidRPr="00DD520E" w:rsidRDefault="00E53CFF" w:rsidP="00E53CFF">
      <w:pPr>
        <w:autoSpaceDE w:val="0"/>
        <w:autoSpaceDN w:val="0"/>
        <w:adjustRightInd w:val="0"/>
        <w:rPr>
          <w:b/>
          <w:szCs w:val="24"/>
          <w:u w:val="single"/>
        </w:rPr>
      </w:pPr>
    </w:p>
    <w:p w:rsidR="00E53CFF" w:rsidRPr="00DD520E" w:rsidRDefault="00E53CFF" w:rsidP="00E53CFF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DD520E">
        <w:rPr>
          <w:b/>
          <w:szCs w:val="24"/>
          <w:u w:val="single"/>
        </w:rPr>
        <w:t>Storage and Handling</w:t>
      </w:r>
    </w:p>
    <w:p w:rsidR="00E53CFF" w:rsidRPr="00DD520E" w:rsidRDefault="00E53CFF" w:rsidP="00E53CFF">
      <w:pPr>
        <w:numPr>
          <w:ilvl w:val="0"/>
          <w:numId w:val="3"/>
        </w:numPr>
        <w:autoSpaceDE w:val="0"/>
        <w:autoSpaceDN w:val="0"/>
        <w:adjustRightInd w:val="0"/>
        <w:rPr>
          <w:b/>
          <w:szCs w:val="24"/>
          <w:u w:val="single"/>
        </w:rPr>
      </w:pPr>
      <w:r w:rsidRPr="00DD520E">
        <w:rPr>
          <w:szCs w:val="24"/>
        </w:rPr>
        <w:t>Store in refrigerator at 36</w:t>
      </w:r>
      <w:r w:rsidRPr="00DD520E">
        <w:rPr>
          <w:szCs w:val="24"/>
          <w:vertAlign w:val="superscript"/>
        </w:rPr>
        <w:t>o</w:t>
      </w:r>
      <w:r w:rsidRPr="00DD520E">
        <w:rPr>
          <w:szCs w:val="24"/>
        </w:rPr>
        <w:t>F – 46</w:t>
      </w:r>
      <w:r w:rsidRPr="00DD520E">
        <w:rPr>
          <w:szCs w:val="24"/>
          <w:vertAlign w:val="superscript"/>
        </w:rPr>
        <w:t>o</w:t>
      </w:r>
      <w:r w:rsidRPr="00DD520E">
        <w:rPr>
          <w:szCs w:val="24"/>
        </w:rPr>
        <w:t>F (2</w:t>
      </w:r>
      <w:r w:rsidRPr="00DD520E">
        <w:rPr>
          <w:szCs w:val="24"/>
          <w:vertAlign w:val="superscript"/>
        </w:rPr>
        <w:t>o</w:t>
      </w:r>
      <w:r w:rsidRPr="00DD520E">
        <w:rPr>
          <w:szCs w:val="24"/>
        </w:rPr>
        <w:t>C – 8</w:t>
      </w:r>
      <w:r w:rsidRPr="00DD520E">
        <w:rPr>
          <w:szCs w:val="24"/>
          <w:vertAlign w:val="superscript"/>
        </w:rPr>
        <w:t>o</w:t>
      </w:r>
      <w:r w:rsidRPr="00DD520E">
        <w:rPr>
          <w:szCs w:val="24"/>
        </w:rPr>
        <w:t xml:space="preserve">C) </w:t>
      </w:r>
      <w:r w:rsidRPr="00DD520E">
        <w:rPr>
          <w:b/>
          <w:szCs w:val="24"/>
        </w:rPr>
        <w:t>(DO NOT FREEZE)</w:t>
      </w:r>
      <w:r w:rsidRPr="00DD520E">
        <w:rPr>
          <w:szCs w:val="24"/>
        </w:rPr>
        <w:t>.</w:t>
      </w:r>
    </w:p>
    <w:p w:rsidR="00E53CFF" w:rsidRPr="00DD520E" w:rsidRDefault="00E53CFF" w:rsidP="00E53CFF">
      <w:pPr>
        <w:numPr>
          <w:ilvl w:val="0"/>
          <w:numId w:val="3"/>
        </w:numPr>
        <w:autoSpaceDE w:val="0"/>
        <w:autoSpaceDN w:val="0"/>
        <w:adjustRightInd w:val="0"/>
        <w:rPr>
          <w:b/>
          <w:szCs w:val="24"/>
          <w:u w:val="single"/>
        </w:rPr>
      </w:pPr>
      <w:r w:rsidRPr="00DD520E">
        <w:rPr>
          <w:szCs w:val="24"/>
        </w:rPr>
        <w:t>Administer within 24 hours of reconstitution.</w:t>
      </w:r>
    </w:p>
    <w:p w:rsidR="00E53CFF" w:rsidRPr="00DD520E" w:rsidRDefault="00E53CFF" w:rsidP="00E53CFF">
      <w:pPr>
        <w:numPr>
          <w:ilvl w:val="0"/>
          <w:numId w:val="3"/>
        </w:numPr>
        <w:autoSpaceDE w:val="0"/>
        <w:autoSpaceDN w:val="0"/>
        <w:adjustRightInd w:val="0"/>
        <w:rPr>
          <w:b/>
          <w:szCs w:val="24"/>
          <w:u w:val="single"/>
        </w:rPr>
      </w:pPr>
      <w:r w:rsidRPr="00DD520E">
        <w:rPr>
          <w:szCs w:val="24"/>
        </w:rPr>
        <w:t>May be stored at room temperature up to 25</w:t>
      </w:r>
      <w:r w:rsidRPr="00DD520E">
        <w:rPr>
          <w:rFonts w:ascii="Verdana" w:hAnsi="Verdana"/>
          <w:szCs w:val="24"/>
        </w:rPr>
        <w:t>°</w:t>
      </w:r>
      <w:r w:rsidRPr="00DD520E">
        <w:rPr>
          <w:szCs w:val="24"/>
        </w:rPr>
        <w:t>C (77</w:t>
      </w:r>
      <w:r w:rsidRPr="00DD520E">
        <w:rPr>
          <w:rFonts w:ascii="Verdana" w:hAnsi="Verdana"/>
          <w:szCs w:val="24"/>
        </w:rPr>
        <w:t>°</w:t>
      </w:r>
      <w:r w:rsidRPr="00DD520E">
        <w:rPr>
          <w:szCs w:val="24"/>
        </w:rPr>
        <w:t>F) after reconstitution.</w:t>
      </w:r>
    </w:p>
    <w:p w:rsidR="00E53CFF" w:rsidRPr="00DD520E" w:rsidRDefault="00E53CFF" w:rsidP="00E53CFF">
      <w:pPr>
        <w:numPr>
          <w:ilvl w:val="0"/>
          <w:numId w:val="3"/>
        </w:numPr>
        <w:autoSpaceDE w:val="0"/>
        <w:autoSpaceDN w:val="0"/>
        <w:adjustRightInd w:val="0"/>
        <w:rPr>
          <w:b/>
          <w:szCs w:val="24"/>
          <w:u w:val="single"/>
        </w:rPr>
      </w:pPr>
      <w:r w:rsidRPr="00DD520E">
        <w:rPr>
          <w:szCs w:val="24"/>
        </w:rPr>
        <w:t>Discard reconstituted vaccine if not used within 24 hours.</w:t>
      </w:r>
    </w:p>
    <w:p w:rsidR="00E53CFF" w:rsidRPr="00DD520E" w:rsidRDefault="00E53CFF" w:rsidP="00E53CFF">
      <w:pPr>
        <w:numPr>
          <w:ilvl w:val="0"/>
          <w:numId w:val="3"/>
        </w:numPr>
        <w:autoSpaceDE w:val="0"/>
        <w:autoSpaceDN w:val="0"/>
        <w:adjustRightInd w:val="0"/>
        <w:rPr>
          <w:b/>
          <w:szCs w:val="24"/>
          <w:u w:val="single"/>
        </w:rPr>
      </w:pPr>
      <w:r w:rsidRPr="00DD520E">
        <w:rPr>
          <w:szCs w:val="24"/>
        </w:rPr>
        <w:t xml:space="preserve">Discard if the vaccine </w:t>
      </w:r>
      <w:proofErr w:type="gramStart"/>
      <w:r w:rsidRPr="00DD520E">
        <w:rPr>
          <w:szCs w:val="24"/>
        </w:rPr>
        <w:t>has been frozen</w:t>
      </w:r>
      <w:proofErr w:type="gramEnd"/>
      <w:r w:rsidRPr="00DD520E">
        <w:rPr>
          <w:szCs w:val="24"/>
        </w:rPr>
        <w:t>.</w:t>
      </w:r>
    </w:p>
    <w:p w:rsidR="00E53CFF" w:rsidRPr="00DD520E" w:rsidRDefault="00E53CFF" w:rsidP="00E53CFF">
      <w:pPr>
        <w:numPr>
          <w:ilvl w:val="0"/>
          <w:numId w:val="3"/>
        </w:numPr>
        <w:autoSpaceDE w:val="0"/>
        <w:autoSpaceDN w:val="0"/>
        <w:adjustRightInd w:val="0"/>
        <w:rPr>
          <w:b/>
          <w:szCs w:val="24"/>
          <w:u w:val="single"/>
        </w:rPr>
      </w:pPr>
      <w:r w:rsidRPr="00DD520E">
        <w:rPr>
          <w:szCs w:val="24"/>
        </w:rPr>
        <w:t>Protect from light.</w:t>
      </w:r>
    </w:p>
    <w:p w:rsidR="00E53CFF" w:rsidRPr="00DD520E" w:rsidRDefault="00E53CFF" w:rsidP="00E53CFF">
      <w:pPr>
        <w:autoSpaceDE w:val="0"/>
        <w:autoSpaceDN w:val="0"/>
        <w:adjustRightInd w:val="0"/>
        <w:rPr>
          <w:b/>
          <w:szCs w:val="24"/>
          <w:u w:val="single"/>
        </w:rPr>
      </w:pPr>
    </w:p>
    <w:p w:rsidR="00E53CFF" w:rsidRPr="00DD520E" w:rsidRDefault="00E53CFF" w:rsidP="00E53CFF">
      <w:pPr>
        <w:autoSpaceDE w:val="0"/>
        <w:autoSpaceDN w:val="0"/>
        <w:adjustRightInd w:val="0"/>
        <w:spacing w:after="120"/>
        <w:rPr>
          <w:b/>
          <w:szCs w:val="24"/>
          <w:u w:val="single"/>
        </w:rPr>
      </w:pPr>
      <w:r w:rsidRPr="00DD520E">
        <w:rPr>
          <w:b/>
          <w:szCs w:val="24"/>
          <w:u w:val="single"/>
        </w:rPr>
        <w:t>Other Important Notes</w:t>
      </w:r>
    </w:p>
    <w:p w:rsidR="00E53CFF" w:rsidRPr="00DD520E" w:rsidRDefault="00E53CFF" w:rsidP="00E53CFF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t xml:space="preserve">The ACIP recommends that </w:t>
      </w:r>
      <w:r w:rsidRPr="00E53CFF">
        <w:rPr>
          <w:b/>
          <w:szCs w:val="24"/>
        </w:rPr>
        <w:t>ROTARIX</w:t>
      </w:r>
      <w:r w:rsidRPr="00DD520E">
        <w:rPr>
          <w:position w:val="8"/>
          <w:szCs w:val="24"/>
        </w:rPr>
        <w:sym w:font="Symbol" w:char="F0E2"/>
      </w:r>
      <w:r w:rsidRPr="00DD520E">
        <w:rPr>
          <w:position w:val="8"/>
          <w:szCs w:val="24"/>
        </w:rPr>
        <w:t xml:space="preserve"> </w:t>
      </w:r>
      <w:proofErr w:type="gramStart"/>
      <w:r w:rsidRPr="00DD520E">
        <w:rPr>
          <w:szCs w:val="24"/>
        </w:rPr>
        <w:t>be given</w:t>
      </w:r>
      <w:proofErr w:type="gramEnd"/>
      <w:r w:rsidRPr="00DD520E">
        <w:rPr>
          <w:szCs w:val="24"/>
        </w:rPr>
        <w:t xml:space="preserve"> during the current routine well-baby visits at 2 and 4 months of age.</w:t>
      </w:r>
    </w:p>
    <w:p w:rsidR="00E53CFF" w:rsidRPr="00DD520E" w:rsidRDefault="00E53CFF" w:rsidP="00E53CFF">
      <w:pPr>
        <w:numPr>
          <w:ilvl w:val="0"/>
          <w:numId w:val="2"/>
        </w:numPr>
        <w:autoSpaceDE w:val="0"/>
        <w:autoSpaceDN w:val="0"/>
        <w:adjustRightInd w:val="0"/>
        <w:rPr>
          <w:b/>
          <w:szCs w:val="24"/>
          <w:u w:val="single"/>
        </w:rPr>
      </w:pPr>
      <w:r w:rsidRPr="00DD520E">
        <w:rPr>
          <w:szCs w:val="24"/>
        </w:rPr>
        <w:t xml:space="preserve">Breast-feeding is not a contraindication for vaccination.  No restrictions </w:t>
      </w:r>
      <w:proofErr w:type="gramStart"/>
      <w:r w:rsidRPr="00DD520E">
        <w:rPr>
          <w:szCs w:val="24"/>
        </w:rPr>
        <w:t>were placed</w:t>
      </w:r>
      <w:proofErr w:type="gramEnd"/>
      <w:r w:rsidRPr="00DD520E">
        <w:rPr>
          <w:szCs w:val="24"/>
        </w:rPr>
        <w:t xml:space="preserve"> on infants’ liquid consumption, including breast-milk, either before or after vaccination.</w:t>
      </w:r>
    </w:p>
    <w:p w:rsidR="00E53CFF" w:rsidRPr="00DD520E" w:rsidRDefault="00E53CFF" w:rsidP="00E53CFF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t xml:space="preserve">In the event that the infants spits out or regurgitates most of the vaccine dose, a single replacement dose of </w:t>
      </w:r>
      <w:r w:rsidRPr="00E53CFF">
        <w:rPr>
          <w:b/>
          <w:szCs w:val="24"/>
        </w:rPr>
        <w:t>ROTARIX</w:t>
      </w:r>
      <w:r w:rsidRPr="00DD520E">
        <w:rPr>
          <w:position w:val="8"/>
          <w:szCs w:val="24"/>
        </w:rPr>
        <w:sym w:font="Symbol" w:char="F0E2"/>
      </w:r>
      <w:r w:rsidRPr="00DD520E">
        <w:rPr>
          <w:position w:val="8"/>
          <w:szCs w:val="24"/>
        </w:rPr>
        <w:t xml:space="preserve"> </w:t>
      </w:r>
      <w:proofErr w:type="gramStart"/>
      <w:r w:rsidRPr="00DD520E">
        <w:rPr>
          <w:szCs w:val="24"/>
        </w:rPr>
        <w:t>may be considered</w:t>
      </w:r>
      <w:proofErr w:type="gramEnd"/>
      <w:r w:rsidRPr="00DD520E">
        <w:rPr>
          <w:szCs w:val="24"/>
        </w:rPr>
        <w:t xml:space="preserve"> at the same vaccination visit.</w:t>
      </w:r>
    </w:p>
    <w:p w:rsidR="00E53CFF" w:rsidRPr="00DD520E" w:rsidRDefault="00E53CFF" w:rsidP="00E53CFF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t xml:space="preserve">Rotavirus shedding in stool occurs after vaccination with peak excretion occurring around day 7 after dose 1 of </w:t>
      </w:r>
      <w:r w:rsidRPr="00E53CFF">
        <w:rPr>
          <w:b/>
          <w:szCs w:val="24"/>
        </w:rPr>
        <w:t>ROTARIX</w:t>
      </w:r>
      <w:r w:rsidRPr="00DD520E">
        <w:rPr>
          <w:position w:val="8"/>
          <w:szCs w:val="24"/>
        </w:rPr>
        <w:sym w:font="Symbol" w:char="F0E2"/>
      </w:r>
      <w:r w:rsidRPr="00DD520E">
        <w:rPr>
          <w:szCs w:val="24"/>
        </w:rPr>
        <w:t>.</w:t>
      </w:r>
    </w:p>
    <w:p w:rsidR="00E53CFF" w:rsidRPr="00DD520E" w:rsidRDefault="00E53CFF" w:rsidP="00E53CFF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DD520E">
        <w:rPr>
          <w:szCs w:val="24"/>
        </w:rPr>
        <w:t>CPT 90680</w:t>
      </w:r>
    </w:p>
    <w:p w:rsidR="00E53CFF" w:rsidRPr="00DD520E" w:rsidRDefault="00E53CFF" w:rsidP="00E53CFF">
      <w:pPr>
        <w:autoSpaceDE w:val="0"/>
        <w:autoSpaceDN w:val="0"/>
        <w:adjustRightInd w:val="0"/>
        <w:rPr>
          <w:szCs w:val="24"/>
        </w:rPr>
      </w:pPr>
      <w:bookmarkStart w:id="0" w:name="_GoBack"/>
      <w:bookmarkEnd w:id="0"/>
    </w:p>
    <w:p w:rsidR="00E53CFF" w:rsidRPr="00DD520E" w:rsidRDefault="00E53CFF" w:rsidP="00E53CFF">
      <w:pPr>
        <w:rPr>
          <w:b/>
          <w:szCs w:val="24"/>
        </w:rPr>
      </w:pPr>
      <w:r>
        <w:rPr>
          <w:b/>
          <w:szCs w:val="24"/>
        </w:rPr>
        <w:br w:type="page"/>
      </w:r>
      <w:r w:rsidRPr="00DD520E">
        <w:rPr>
          <w:b/>
          <w:szCs w:val="24"/>
        </w:rPr>
        <w:lastRenderedPageBreak/>
        <w:t>Tuberculin Testing and Live Vaccines</w:t>
      </w:r>
    </w:p>
    <w:p w:rsidR="00E53CFF" w:rsidRPr="00DD520E" w:rsidRDefault="00E53CFF" w:rsidP="00E53CFF">
      <w:pPr>
        <w:rPr>
          <w:szCs w:val="24"/>
        </w:rPr>
      </w:pPr>
      <w:r w:rsidRPr="00DD520E">
        <w:rPr>
          <w:szCs w:val="24"/>
        </w:rPr>
        <w:t xml:space="preserve">Recommendations for use of the tuberculin skin test are independent of those for immunization.  Tuberculin testing at any age is not required before administration of live-virus vaccines.  A tuberculin skin test (TST) </w:t>
      </w:r>
      <w:proofErr w:type="gramStart"/>
      <w:r w:rsidRPr="00DD520E">
        <w:rPr>
          <w:szCs w:val="24"/>
        </w:rPr>
        <w:t>can be applied</w:t>
      </w:r>
      <w:proofErr w:type="gramEnd"/>
      <w:r w:rsidRPr="00DD520E">
        <w:rPr>
          <w:szCs w:val="24"/>
        </w:rPr>
        <w:t xml:space="preserve"> at the same visit during which these vaccines are administered.  Measles vaccine temporarily can suppress tuberculin reactivity for at least 4</w:t>
      </w:r>
      <w:r>
        <w:rPr>
          <w:szCs w:val="24"/>
        </w:rPr>
        <w:t> </w:t>
      </w:r>
      <w:r w:rsidRPr="00DD520E">
        <w:rPr>
          <w:szCs w:val="24"/>
        </w:rPr>
        <w:t>to</w:t>
      </w:r>
      <w:r>
        <w:rPr>
          <w:szCs w:val="24"/>
        </w:rPr>
        <w:t> </w:t>
      </w:r>
      <w:r w:rsidRPr="00DD520E">
        <w:rPr>
          <w:szCs w:val="24"/>
        </w:rPr>
        <w:t>6</w:t>
      </w:r>
      <w:r>
        <w:rPr>
          <w:szCs w:val="24"/>
        </w:rPr>
        <w:t> </w:t>
      </w:r>
      <w:r w:rsidRPr="00DD520E">
        <w:rPr>
          <w:szCs w:val="24"/>
        </w:rPr>
        <w:t xml:space="preserve">weeks.  The effect of live-virus varicella, yellow fever, and live-attenuated influenza vaccines on tuberculin skin test reactivity </w:t>
      </w:r>
      <w:proofErr w:type="gramStart"/>
      <w:r w:rsidRPr="00DD520E">
        <w:rPr>
          <w:szCs w:val="24"/>
        </w:rPr>
        <w:t>is not known</w:t>
      </w:r>
      <w:proofErr w:type="gramEnd"/>
      <w:r w:rsidRPr="00DD520E">
        <w:rPr>
          <w:szCs w:val="24"/>
        </w:rPr>
        <w:t xml:space="preserve">.  In the absence of data, the same TST spacing recommendation </w:t>
      </w:r>
      <w:proofErr w:type="gramStart"/>
      <w:r w:rsidRPr="00DD520E">
        <w:rPr>
          <w:szCs w:val="24"/>
        </w:rPr>
        <w:t>should be applied</w:t>
      </w:r>
      <w:proofErr w:type="gramEnd"/>
      <w:r w:rsidRPr="00DD520E">
        <w:rPr>
          <w:szCs w:val="24"/>
        </w:rPr>
        <w:t xml:space="preserve"> to these vaccines as described for MMR.  There is no evidence that inactivated vaccines, polysaccharide vaccines or recombinant or subunit vaccines or toxoids interfere with immune response to TST.</w:t>
      </w:r>
    </w:p>
    <w:p w:rsidR="00E53CFF" w:rsidRPr="00DD520E" w:rsidRDefault="00E53CFF" w:rsidP="00E53CFF">
      <w:pPr>
        <w:rPr>
          <w:szCs w:val="24"/>
        </w:rPr>
      </w:pPr>
    </w:p>
    <w:p w:rsidR="00E53CFF" w:rsidRPr="00DD520E" w:rsidRDefault="00E53CFF" w:rsidP="00E53CFF">
      <w:pPr>
        <w:spacing w:after="120"/>
        <w:rPr>
          <w:rFonts w:cs="Helvetica"/>
          <w:szCs w:val="24"/>
        </w:rPr>
      </w:pPr>
      <w:r w:rsidRPr="00DD520E">
        <w:rPr>
          <w:rFonts w:cs="Arial"/>
          <w:b/>
          <w:szCs w:val="24"/>
        </w:rPr>
        <w:t>Tuberculin Skin Testing (TST) and Rotavirus Vaccine (RV1)</w:t>
      </w:r>
    </w:p>
    <w:p w:rsidR="00E53CFF" w:rsidRPr="00DD520E" w:rsidRDefault="00E53CFF" w:rsidP="00E53CFF">
      <w:pPr>
        <w:numPr>
          <w:ilvl w:val="0"/>
          <w:numId w:val="5"/>
        </w:numPr>
        <w:rPr>
          <w:szCs w:val="24"/>
        </w:rPr>
      </w:pPr>
      <w:r w:rsidRPr="00DD520E">
        <w:rPr>
          <w:szCs w:val="24"/>
        </w:rPr>
        <w:t>Apply TST at same visit as RV1 (preferred strategy)</w:t>
      </w:r>
    </w:p>
    <w:p w:rsidR="00E53CFF" w:rsidRPr="00DD520E" w:rsidRDefault="00E53CFF" w:rsidP="00E53CFF">
      <w:pPr>
        <w:numPr>
          <w:ilvl w:val="0"/>
          <w:numId w:val="5"/>
        </w:numPr>
        <w:rPr>
          <w:szCs w:val="24"/>
        </w:rPr>
      </w:pPr>
      <w:r w:rsidRPr="00DD520E">
        <w:rPr>
          <w:szCs w:val="24"/>
        </w:rPr>
        <w:t>Apply TST first and administer RV1 when TST is read (least favored option because receipt of RV1 is delayed) (least preferred strategy)</w:t>
      </w:r>
    </w:p>
    <w:p w:rsidR="00E53CFF" w:rsidRPr="00DD520E" w:rsidRDefault="00E53CFF" w:rsidP="00E53CFF">
      <w:pPr>
        <w:numPr>
          <w:ilvl w:val="0"/>
          <w:numId w:val="5"/>
        </w:numPr>
        <w:rPr>
          <w:szCs w:val="24"/>
        </w:rPr>
      </w:pPr>
      <w:r w:rsidRPr="00DD520E">
        <w:rPr>
          <w:szCs w:val="24"/>
        </w:rPr>
        <w:t xml:space="preserve">Delay TST at least 4 weeks if RV1 </w:t>
      </w:r>
      <w:proofErr w:type="gramStart"/>
      <w:r w:rsidRPr="00DD520E">
        <w:rPr>
          <w:szCs w:val="24"/>
        </w:rPr>
        <w:t>is given</w:t>
      </w:r>
      <w:proofErr w:type="gramEnd"/>
      <w:r w:rsidRPr="00DD520E">
        <w:rPr>
          <w:szCs w:val="24"/>
        </w:rPr>
        <w:t xml:space="preserve"> first.</w:t>
      </w:r>
    </w:p>
    <w:p w:rsidR="00E53CFF" w:rsidRDefault="00E53CFF" w:rsidP="00E53CFF">
      <w:pPr>
        <w:autoSpaceDE w:val="0"/>
        <w:autoSpaceDN w:val="0"/>
        <w:adjustRightInd w:val="0"/>
      </w:pPr>
    </w:p>
    <w:p w:rsidR="00E53CFF" w:rsidRPr="002D3E3D" w:rsidRDefault="00E53CFF" w:rsidP="00E53CFF">
      <w:pPr>
        <w:autoSpaceDE w:val="0"/>
        <w:autoSpaceDN w:val="0"/>
        <w:adjustRightInd w:val="0"/>
        <w:ind w:left="720"/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E53CFF" w:rsidRDefault="00E53CFF" w:rsidP="00E53CFF">
      <w:pPr>
        <w:autoSpaceDE w:val="0"/>
        <w:autoSpaceDN w:val="0"/>
        <w:adjustRightInd w:val="0"/>
      </w:pPr>
      <w:r>
        <w:t>Last updated December 15, 2011 and August 1, 2012</w:t>
      </w:r>
    </w:p>
    <w:p w:rsidR="00E53CFF" w:rsidRDefault="00E53CFF" w:rsidP="00E53CFF">
      <w:pPr>
        <w:rPr>
          <w:b/>
          <w:bCs/>
        </w:rPr>
      </w:pPr>
    </w:p>
    <w:p w:rsidR="00F25F63" w:rsidRDefault="00F25F63"/>
    <w:sectPr w:rsidR="00F25F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0A" w:rsidRDefault="00861B0A" w:rsidP="00E53CFF">
      <w:r>
        <w:separator/>
      </w:r>
    </w:p>
  </w:endnote>
  <w:endnote w:type="continuationSeparator" w:id="0">
    <w:p w:rsidR="00861B0A" w:rsidRDefault="00861B0A" w:rsidP="00E5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FF" w:rsidRDefault="00E53CFF">
    <w:pPr>
      <w:pStyle w:val="Footer"/>
      <w:jc w:val="center"/>
      <w:rPr>
        <w:color w:val="auto"/>
        <w:sz w:val="16"/>
        <w:szCs w:val="16"/>
      </w:rPr>
    </w:pPr>
    <w:r w:rsidRPr="00E53CFF">
      <w:rPr>
        <w:color w:val="auto"/>
        <w:sz w:val="16"/>
        <w:szCs w:val="16"/>
      </w:rPr>
      <w:t xml:space="preserve">Page </w:t>
    </w:r>
    <w:r w:rsidRPr="00E53CFF">
      <w:rPr>
        <w:color w:val="auto"/>
        <w:sz w:val="16"/>
        <w:szCs w:val="16"/>
      </w:rPr>
      <w:fldChar w:fldCharType="begin"/>
    </w:r>
    <w:r w:rsidRPr="00E53CFF">
      <w:rPr>
        <w:color w:val="auto"/>
        <w:sz w:val="16"/>
        <w:szCs w:val="16"/>
      </w:rPr>
      <w:instrText xml:space="preserve"> PAGE  \* Arabic  \* MERGEFORMAT </w:instrText>
    </w:r>
    <w:r w:rsidRPr="00E53CFF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3</w:t>
    </w:r>
    <w:r w:rsidRPr="00E53CFF">
      <w:rPr>
        <w:color w:val="auto"/>
        <w:sz w:val="16"/>
        <w:szCs w:val="16"/>
      </w:rPr>
      <w:fldChar w:fldCharType="end"/>
    </w:r>
    <w:r w:rsidRPr="00E53CFF">
      <w:rPr>
        <w:color w:val="auto"/>
        <w:sz w:val="16"/>
        <w:szCs w:val="16"/>
      </w:rPr>
      <w:t xml:space="preserve"> of </w:t>
    </w:r>
    <w:r w:rsidRPr="00E53CFF">
      <w:rPr>
        <w:color w:val="auto"/>
        <w:sz w:val="16"/>
        <w:szCs w:val="16"/>
      </w:rPr>
      <w:fldChar w:fldCharType="begin"/>
    </w:r>
    <w:r w:rsidRPr="00E53CFF">
      <w:rPr>
        <w:color w:val="auto"/>
        <w:sz w:val="16"/>
        <w:szCs w:val="16"/>
      </w:rPr>
      <w:instrText xml:space="preserve"> NUMPAGES  \* Arabic  \* MERGEFORMAT </w:instrText>
    </w:r>
    <w:r w:rsidRPr="00E53CFF">
      <w:rPr>
        <w:color w:val="auto"/>
        <w:sz w:val="16"/>
        <w:szCs w:val="16"/>
      </w:rPr>
      <w:fldChar w:fldCharType="separate"/>
    </w:r>
    <w:r>
      <w:rPr>
        <w:noProof/>
        <w:color w:val="auto"/>
        <w:sz w:val="16"/>
        <w:szCs w:val="16"/>
      </w:rPr>
      <w:t>3</w:t>
    </w:r>
    <w:r w:rsidRPr="00E53CFF">
      <w:rPr>
        <w:color w:val="auto"/>
        <w:sz w:val="16"/>
        <w:szCs w:val="16"/>
      </w:rPr>
      <w:fldChar w:fldCharType="end"/>
    </w:r>
  </w:p>
  <w:p w:rsidR="00E53CFF" w:rsidRDefault="00E53CFF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Core Clinical Service Guide</w:t>
    </w:r>
  </w:p>
  <w:p w:rsidR="00E53CFF" w:rsidRDefault="00E53CFF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Section:  Immunizations – (Z) – Rotavirus (RV1) Vaccine Monovalent (ROTARIX)</w:t>
    </w:r>
  </w:p>
  <w:p w:rsidR="00E53CFF" w:rsidRPr="00E53CFF" w:rsidRDefault="00E53CFF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July 1, 2018</w:t>
    </w:r>
  </w:p>
  <w:p w:rsidR="00E53CFF" w:rsidRDefault="00E53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0A" w:rsidRDefault="00861B0A" w:rsidP="00E53CFF">
      <w:r>
        <w:separator/>
      </w:r>
    </w:p>
  </w:footnote>
  <w:footnote w:type="continuationSeparator" w:id="0">
    <w:p w:rsidR="00861B0A" w:rsidRDefault="00861B0A" w:rsidP="00E5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F0"/>
    <w:multiLevelType w:val="hybridMultilevel"/>
    <w:tmpl w:val="FD0A1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7E9D"/>
    <w:multiLevelType w:val="hybridMultilevel"/>
    <w:tmpl w:val="294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406AE"/>
    <w:multiLevelType w:val="hybridMultilevel"/>
    <w:tmpl w:val="FA8A2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7D0D"/>
    <w:multiLevelType w:val="hybridMultilevel"/>
    <w:tmpl w:val="9FACF9E2"/>
    <w:lvl w:ilvl="0" w:tplc="0BAE8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91796"/>
    <w:multiLevelType w:val="hybridMultilevel"/>
    <w:tmpl w:val="F89625DE"/>
    <w:lvl w:ilvl="0" w:tplc="057CA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83462"/>
    <w:multiLevelType w:val="hybridMultilevel"/>
    <w:tmpl w:val="99C8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61FC2"/>
    <w:multiLevelType w:val="hybridMultilevel"/>
    <w:tmpl w:val="FFA6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F3841"/>
    <w:multiLevelType w:val="hybridMultilevel"/>
    <w:tmpl w:val="751C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28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11"/>
    <w:rsid w:val="00200F11"/>
    <w:rsid w:val="00861B0A"/>
    <w:rsid w:val="00E53CFF"/>
    <w:rsid w:val="00F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BA05"/>
  <w15:chartTrackingRefBased/>
  <w15:docId w15:val="{05FEDD4F-3528-4D24-9259-A7107F59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CF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53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CFF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0186E828-E6A6-4189-8A0C-F14CDEA989DE}"/>
</file>

<file path=customXml/itemProps2.xml><?xml version="1.0" encoding="utf-8"?>
<ds:datastoreItem xmlns:ds="http://schemas.openxmlformats.org/officeDocument/2006/customXml" ds:itemID="{56E124F6-7195-4CA6-9F1D-AC3843C3D378}"/>
</file>

<file path=customXml/itemProps3.xml><?xml version="1.0" encoding="utf-8"?>
<ds:datastoreItem xmlns:ds="http://schemas.openxmlformats.org/officeDocument/2006/customXml" ds:itemID="{B024FEA1-F152-4B58-86C4-6CD6DF96E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4361</Characters>
  <Application>Microsoft Office Word</Application>
  <DocSecurity>0</DocSecurity>
  <Lines>36</Lines>
  <Paragraphs>10</Paragraphs>
  <ScaleCrop>false</ScaleCrop>
  <Company>Commonwealth of Kentucky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(Z) - RV1 (ROTARIX)</dc:title>
  <dc:subject/>
  <dc:creator>Cunningham, Troi (CHFS PH EPI)</dc:creator>
  <cp:keywords/>
  <dc:description/>
  <cp:lastModifiedBy>Cunningham, Troi (CHFS PH EPI)</cp:lastModifiedBy>
  <cp:revision>2</cp:revision>
  <dcterms:created xsi:type="dcterms:W3CDTF">2018-06-29T19:08:00Z</dcterms:created>
  <dcterms:modified xsi:type="dcterms:W3CDTF">2018-06-29T19:11:00Z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